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E81937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CC7EC6">
        <w:rPr>
          <w:rFonts w:ascii="Times New Roman" w:hAnsi="Times New Roman" w:cs="Times New Roman"/>
          <w:sz w:val="26"/>
          <w:szCs w:val="26"/>
        </w:rPr>
        <w:t>Аукциона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3D094F">
        <w:rPr>
          <w:rFonts w:ascii="Times New Roman" w:hAnsi="Times New Roman" w:cs="Times New Roman"/>
          <w:sz w:val="26"/>
          <w:szCs w:val="26"/>
        </w:rPr>
        <w:t>4</w:t>
      </w:r>
    </w:p>
    <w:p w:rsidR="00216DF2" w:rsidRPr="00CD1C75" w:rsidRDefault="00216DF2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C47C91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094F">
        <w:rPr>
          <w:rFonts w:ascii="Times New Roman" w:hAnsi="Times New Roman" w:cs="Times New Roman"/>
          <w:sz w:val="26"/>
          <w:szCs w:val="26"/>
        </w:rPr>
        <w:t>02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3D094F">
        <w:rPr>
          <w:rFonts w:ascii="Times New Roman" w:hAnsi="Times New Roman" w:cs="Times New Roman"/>
          <w:sz w:val="26"/>
          <w:szCs w:val="26"/>
        </w:rPr>
        <w:t>июл</w:t>
      </w:r>
      <w:r w:rsidR="00837296">
        <w:rPr>
          <w:rFonts w:ascii="Times New Roman" w:hAnsi="Times New Roman" w:cs="Times New Roman"/>
          <w:sz w:val="26"/>
          <w:szCs w:val="26"/>
        </w:rPr>
        <w:t>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CC7EC6">
        <w:rPr>
          <w:rFonts w:ascii="Times New Roman" w:hAnsi="Times New Roman" w:cs="Times New Roman"/>
          <w:sz w:val="26"/>
          <w:szCs w:val="26"/>
        </w:rPr>
        <w:t>6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254B4B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6E238C">
        <w:rPr>
          <w:rFonts w:ascii="Times New Roman" w:hAnsi="Times New Roman" w:cs="Times New Roman"/>
          <w:b/>
          <w:sz w:val="26"/>
          <w:szCs w:val="26"/>
        </w:rPr>
        <w:t>№ 4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254B4B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3D094F">
        <w:rPr>
          <w:rFonts w:ascii="Times New Roman" w:eastAsia="Times New Roman" w:hAnsi="Times New Roman" w:cs="Times New Roman"/>
          <w:sz w:val="26"/>
          <w:szCs w:val="26"/>
          <w:lang w:eastAsia="zh-CN"/>
        </w:rPr>
        <w:t>27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3D094F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01.07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="00E8193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15:00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304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4D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аукциона: </w:t>
      </w:r>
      <w:r w:rsidR="003D094F">
        <w:rPr>
          <w:rFonts w:ascii="Times New Roman" w:eastAsia="Times New Roman" w:hAnsi="Times New Roman" w:cs="Times New Roman"/>
          <w:sz w:val="26"/>
          <w:szCs w:val="26"/>
          <w:lang w:eastAsia="zh-CN"/>
        </w:rPr>
        <w:t>02.07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с 10 ч. 00 ми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н. г.Владикавк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аз, пл.Штыба, 2, 1 этаж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Pr="00CD1C75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3D094F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02.07</w:t>
      </w:r>
      <w:r w:rsidR="00CC7EC6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254B4B" w:rsidRDefault="00254B4B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0526B0" w:rsidRPr="00CD1C75" w:rsidRDefault="00045E9E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3D6F28" w:rsidRPr="00CD1C75" w:rsidTr="003D094F">
        <w:trPr>
          <w:trHeight w:val="4219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D094F" w:rsidRDefault="003D094F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Козаева Е.С.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094F" w:rsidRDefault="003D094F" w:rsidP="003D094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Хабаев К.К.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37296" w:rsidRDefault="00837296" w:rsidP="008372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CD1C75" w:rsidRDefault="00D42DB7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0B1724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E65D41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094F" w:rsidRDefault="003D094F" w:rsidP="003D094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54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архитектуры и градостроительства </w:t>
            </w:r>
            <w:r w:rsidRPr="003A05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3A054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7296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94F" w:rsidRDefault="003D094F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296" w:rsidRPr="000B1724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977AC" w:rsidRDefault="002977AC" w:rsidP="00254B4B">
      <w:pPr>
        <w:pStyle w:val="a7"/>
        <w:spacing w:line="276" w:lineRule="auto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Default="0097330B" w:rsidP="003D6F28">
      <w:pPr>
        <w:pStyle w:val="a7"/>
        <w:spacing w:line="276" w:lineRule="auto"/>
        <w:ind w:left="567" w:right="423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E81937" w:rsidRPr="00254B4B" w:rsidRDefault="00E81937" w:rsidP="00254B4B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254B4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8B0857" w:rsidRDefault="008B0857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Pr="004B2432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105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551"/>
        <w:gridCol w:w="1134"/>
        <w:gridCol w:w="1559"/>
        <w:gridCol w:w="2410"/>
      </w:tblGrid>
      <w:tr w:rsidR="003D094F" w:rsidRPr="00CD1C75" w:rsidTr="006E238C">
        <w:trPr>
          <w:trHeight w:val="14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D094F" w:rsidRPr="00E62D94" w:rsidRDefault="003D094F" w:rsidP="00837296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D094F" w:rsidRPr="00E62D94" w:rsidRDefault="003D094F" w:rsidP="00837296">
            <w:pPr>
              <w:spacing w:after="0" w:line="276" w:lineRule="auto"/>
              <w:ind w:left="-174" w:right="-2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D094F" w:rsidRPr="00E62D94" w:rsidRDefault="003D094F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D094F" w:rsidRPr="00836E6B" w:rsidRDefault="003D094F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D094F" w:rsidRPr="00836E6B" w:rsidRDefault="003D094F" w:rsidP="003D094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</w:tr>
      <w:tr w:rsidR="003D094F" w:rsidRPr="00CD1C75" w:rsidTr="006E238C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94F" w:rsidRPr="00E83D7A" w:rsidRDefault="003D094F" w:rsidP="003D094F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4F" w:rsidRPr="00837296" w:rsidRDefault="003D094F" w:rsidP="00CC7EC6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ул.К.Кесаева, 154 (аллея)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4F" w:rsidRDefault="003D094F" w:rsidP="003D094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Джаджиев А.П.</w:t>
            </w:r>
          </w:p>
          <w:p w:rsidR="003D094F" w:rsidRPr="00C83D3E" w:rsidRDefault="003D094F" w:rsidP="003D094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74598B">
              <w:rPr>
                <w:rFonts w:ascii="Times New Roman" w:hAnsi="Times New Roman" w:cs="Times New Roman"/>
                <w:sz w:val="27"/>
                <w:szCs w:val="27"/>
              </w:rPr>
              <w:t xml:space="preserve">Лолаева </w:t>
            </w:r>
            <w:r w:rsidR="006E238C">
              <w:rPr>
                <w:rFonts w:ascii="Times New Roman" w:hAnsi="Times New Roman" w:cs="Times New Roman"/>
                <w:sz w:val="27"/>
                <w:szCs w:val="27"/>
              </w:rPr>
              <w:t xml:space="preserve">А.Э. </w:t>
            </w:r>
            <w:r w:rsidR="0074598B">
              <w:rPr>
                <w:rFonts w:ascii="Times New Roman" w:hAnsi="Times New Roman" w:cs="Times New Roman"/>
                <w:sz w:val="27"/>
                <w:szCs w:val="27"/>
              </w:rPr>
              <w:t>по доверенности)</w:t>
            </w:r>
          </w:p>
          <w:p w:rsidR="003D094F" w:rsidRDefault="003D094F" w:rsidP="003D094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</w:p>
          <w:p w:rsidR="003D094F" w:rsidRPr="005055C9" w:rsidRDefault="0074598B" w:rsidP="003D09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702 067</w:t>
            </w:r>
            <w:r w:rsidR="003D094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4F" w:rsidRPr="00C83D3E" w:rsidRDefault="003D094F" w:rsidP="003D094F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6E238C">
              <w:rPr>
                <w:rFonts w:ascii="Times New Roman" w:hAnsi="Times New Roman" w:cs="Times New Roman"/>
                <w:sz w:val="27"/>
                <w:szCs w:val="27"/>
              </w:rPr>
              <w:t>Санакоева Л.Т.</w:t>
            </w:r>
          </w:p>
          <w:p w:rsidR="006E238C" w:rsidRDefault="006E238C" w:rsidP="006E238C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(Кадзилов О.М. по доверенности)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Предложенная цена договора</w:t>
            </w:r>
          </w:p>
          <w:p w:rsidR="003D094F" w:rsidRPr="005055C9" w:rsidRDefault="0074598B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="006E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="003D094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38C" w:rsidRDefault="0074598B" w:rsidP="0074598B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Гамзатов Р.М</w:t>
            </w:r>
            <w:r w:rsidR="006E238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4598B" w:rsidRDefault="0074598B" w:rsidP="0074598B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3D094F" w:rsidRPr="005055C9" w:rsidRDefault="0074598B" w:rsidP="007459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856 650 руб.</w:t>
            </w:r>
          </w:p>
        </w:tc>
      </w:tr>
      <w:tr w:rsidR="006E238C" w:rsidRPr="00CD1C75" w:rsidTr="006E238C">
        <w:trPr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38C" w:rsidRDefault="006E238C" w:rsidP="003D094F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38C" w:rsidRPr="00521A82" w:rsidRDefault="006E238C" w:rsidP="00CC7EC6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ул.К.Кесаева, 154 (аллея)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38C" w:rsidRPr="00C83D3E" w:rsidRDefault="006E238C" w:rsidP="006E238C">
            <w:pPr>
              <w:spacing w:after="0"/>
              <w:ind w:left="-108" w:right="-1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Джимиев С.Т.</w:t>
            </w:r>
          </w:p>
          <w:p w:rsidR="006E238C" w:rsidRDefault="006E238C" w:rsidP="006E238C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6E238C" w:rsidRPr="00C83D3E" w:rsidRDefault="006E238C" w:rsidP="006E238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523 202 руб.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38C" w:rsidRPr="00C83D3E" w:rsidRDefault="006E238C" w:rsidP="006E238C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Санакоева Л.Т.</w:t>
            </w:r>
          </w:p>
          <w:p w:rsidR="006E238C" w:rsidRDefault="006E238C" w:rsidP="006E238C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(Кадзилов О.М. по доверенности)</w:t>
            </w:r>
          </w:p>
          <w:p w:rsidR="006E238C" w:rsidRDefault="006E238C" w:rsidP="006E238C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Предложенная цена договора</w:t>
            </w:r>
          </w:p>
          <w:p w:rsidR="006E238C" w:rsidRPr="00C83D3E" w:rsidRDefault="006E238C" w:rsidP="006E238C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511 311 руб.</w:t>
            </w:r>
          </w:p>
        </w:tc>
      </w:tr>
    </w:tbl>
    <w:p w:rsidR="00E94E9C" w:rsidRPr="00E94E9C" w:rsidRDefault="00F7730A" w:rsidP="00254B4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5D41" w:rsidRDefault="00E65D41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E83D7A" w:rsidRDefault="00E83D7A" w:rsidP="006E238C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6A97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4BE8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A16A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E238C" w:rsidRDefault="006E238C" w:rsidP="006E238C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Хабаев К.К.   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7296" w:rsidRDefault="00837296" w:rsidP="008372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Цаболов А.З.___________________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6DF7" w:rsidRPr="00A84A16" w:rsidRDefault="00C46DF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91" w:rsidRDefault="00C47C91" w:rsidP="00CC398F">
      <w:pPr>
        <w:spacing w:after="0" w:line="240" w:lineRule="auto"/>
      </w:pPr>
      <w:r>
        <w:separator/>
      </w:r>
    </w:p>
  </w:endnote>
  <w:endnote w:type="continuationSeparator" w:id="0">
    <w:p w:rsidR="00C47C91" w:rsidRDefault="00C47C91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91" w:rsidRDefault="00C47C91" w:rsidP="00CC398F">
      <w:pPr>
        <w:spacing w:after="0" w:line="240" w:lineRule="auto"/>
      </w:pPr>
      <w:r>
        <w:separator/>
      </w:r>
    </w:p>
  </w:footnote>
  <w:footnote w:type="continuationSeparator" w:id="0">
    <w:p w:rsidR="00C47C91" w:rsidRDefault="00C47C91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2F29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3F9"/>
    <w:rsid w:val="00235CA8"/>
    <w:rsid w:val="00237616"/>
    <w:rsid w:val="00241918"/>
    <w:rsid w:val="00242DD5"/>
    <w:rsid w:val="00250A98"/>
    <w:rsid w:val="00252DDE"/>
    <w:rsid w:val="00254B01"/>
    <w:rsid w:val="00254B4B"/>
    <w:rsid w:val="002710C7"/>
    <w:rsid w:val="0027380D"/>
    <w:rsid w:val="00274663"/>
    <w:rsid w:val="0028224C"/>
    <w:rsid w:val="00283D7C"/>
    <w:rsid w:val="00284CF4"/>
    <w:rsid w:val="0029035A"/>
    <w:rsid w:val="002977AC"/>
    <w:rsid w:val="002A3393"/>
    <w:rsid w:val="002B24B7"/>
    <w:rsid w:val="002B4B98"/>
    <w:rsid w:val="002C288D"/>
    <w:rsid w:val="002C2AB6"/>
    <w:rsid w:val="002C450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2757"/>
    <w:rsid w:val="003C45A1"/>
    <w:rsid w:val="003C6791"/>
    <w:rsid w:val="003C73BE"/>
    <w:rsid w:val="003D094F"/>
    <w:rsid w:val="003D5741"/>
    <w:rsid w:val="003D5AAA"/>
    <w:rsid w:val="003D6ADC"/>
    <w:rsid w:val="003D6F28"/>
    <w:rsid w:val="003D75EA"/>
    <w:rsid w:val="003D7EBF"/>
    <w:rsid w:val="003F007B"/>
    <w:rsid w:val="003F2619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2CB6"/>
    <w:rsid w:val="00506E51"/>
    <w:rsid w:val="00510046"/>
    <w:rsid w:val="00521C33"/>
    <w:rsid w:val="0052254C"/>
    <w:rsid w:val="0052368D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22DA"/>
    <w:rsid w:val="00693549"/>
    <w:rsid w:val="006A332B"/>
    <w:rsid w:val="006B6EEE"/>
    <w:rsid w:val="006B7362"/>
    <w:rsid w:val="006C6A9E"/>
    <w:rsid w:val="006E238C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432F9"/>
    <w:rsid w:val="0074598B"/>
    <w:rsid w:val="00762746"/>
    <w:rsid w:val="00775C30"/>
    <w:rsid w:val="00777021"/>
    <w:rsid w:val="0078258A"/>
    <w:rsid w:val="007825A4"/>
    <w:rsid w:val="0079124E"/>
    <w:rsid w:val="007B4518"/>
    <w:rsid w:val="007D0F0E"/>
    <w:rsid w:val="007D7D33"/>
    <w:rsid w:val="007E31FB"/>
    <w:rsid w:val="007F2794"/>
    <w:rsid w:val="00803393"/>
    <w:rsid w:val="0081000F"/>
    <w:rsid w:val="00810A8A"/>
    <w:rsid w:val="00823CDE"/>
    <w:rsid w:val="00836E6B"/>
    <w:rsid w:val="00837296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127C"/>
    <w:rsid w:val="008C7D9D"/>
    <w:rsid w:val="008D2DD1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6A97"/>
    <w:rsid w:val="00A179F9"/>
    <w:rsid w:val="00A228B1"/>
    <w:rsid w:val="00A27A41"/>
    <w:rsid w:val="00A30568"/>
    <w:rsid w:val="00A322F8"/>
    <w:rsid w:val="00A34D81"/>
    <w:rsid w:val="00A42CEF"/>
    <w:rsid w:val="00A45135"/>
    <w:rsid w:val="00A50B71"/>
    <w:rsid w:val="00A5172D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1BB0"/>
    <w:rsid w:val="00AC44BF"/>
    <w:rsid w:val="00AC67A3"/>
    <w:rsid w:val="00AD4906"/>
    <w:rsid w:val="00AF0F48"/>
    <w:rsid w:val="00B00EE0"/>
    <w:rsid w:val="00B11872"/>
    <w:rsid w:val="00B34542"/>
    <w:rsid w:val="00B54391"/>
    <w:rsid w:val="00B575CF"/>
    <w:rsid w:val="00B76056"/>
    <w:rsid w:val="00B776A7"/>
    <w:rsid w:val="00B83138"/>
    <w:rsid w:val="00B854E8"/>
    <w:rsid w:val="00B90F0E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2CD8"/>
    <w:rsid w:val="00C249A3"/>
    <w:rsid w:val="00C419FE"/>
    <w:rsid w:val="00C42F38"/>
    <w:rsid w:val="00C46DF7"/>
    <w:rsid w:val="00C47C91"/>
    <w:rsid w:val="00C5434E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C7EC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42DB7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1D1A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81937"/>
    <w:rsid w:val="00E83D7A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6BE"/>
    <w:rsid w:val="00FE0D9C"/>
    <w:rsid w:val="00FE346D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BE32-8209-4D94-BBFC-CA5E9D2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Тома Томаева</cp:lastModifiedBy>
  <cp:revision>2</cp:revision>
  <cp:lastPrinted>2026-07-03T07:44:00Z</cp:lastPrinted>
  <dcterms:created xsi:type="dcterms:W3CDTF">2026-07-07T12:22:00Z</dcterms:created>
  <dcterms:modified xsi:type="dcterms:W3CDTF">2026-07-07T12:22:00Z</dcterms:modified>
</cp:coreProperties>
</file>