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ind w:right="993"/>
        <w:jc w:val="right"/>
        <w:rPr>
          <w:sz w:val="20"/>
          <w:szCs w:val="20"/>
        </w:rPr>
        <w:outlineLvl w:val="1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УВЕДОМЛЕНИЕ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 ПРОВЕДЕНИИ ПУБЛИЧНЫХ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ОБСУЖДЕНИЙ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Настоящим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Управление экономики АМС г.Владикавказа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извещает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начале обсуждения нового (действующего) пра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вового регулирования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сборе предложений заинтересованных лиц.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Предложения принимаются в установленном порядке по адресу: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Республика Северная Осети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я-Алания, г.Владикавказ, пл.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Штыба, 2, этаж 3, кабинет 308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по адресу электронной почты: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 xml:space="preserve">economy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 xml:space="preserve">ams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@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 xml:space="preserve">yandex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Сроки приема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предложений: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en-US"/>
        </w:rPr>
        <w:t xml:space="preserve">c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25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.02.2026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12.03.2026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Место размещения уведомления о проведени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публичных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обсуждений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сети интернет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официальный сайт муниципального образования г.Владикавказ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10" w:tooltip="https://vladikavkaz-osetia.ru/" w:history="1">
        <w:r>
          <w:rPr>
            <w:rStyle w:val="683"/>
            <w:rFonts w:ascii="Times New Roman" w:hAnsi="Times New Roman" w:cs="Times New Roman"/>
            <w:sz w:val="26"/>
            <w:szCs w:val="26"/>
          </w:rPr>
          <w:t xml:space="preserve">https://vladikavkaz-osetia.ru/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поступившие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предложени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будут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рассмотрен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Сводка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полученных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предложений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будет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размещена на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официальном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г.Владикавказ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1" w:tooltip="https://vladikavkaz-osetia.ru/" w:history="1">
        <w:r>
          <w:rPr>
            <w:rStyle w:val="683"/>
            <w:rFonts w:ascii="Times New Roman" w:hAnsi="Times New Roman" w:cs="Times New Roman"/>
            <w:sz w:val="26"/>
            <w:szCs w:val="26"/>
          </w:rPr>
          <w:t xml:space="preserve">https://vladikavkaz-osetia.ru/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позднее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19.03.2026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Описание проблемы, на решение которой направлено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предлагаемое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(действующее) регулирование: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приведение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порядка принятия решений об установлении стоимости платных услуг и работ, оказываемых муниципальными учреждениями,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в соответствие с действующим законодательством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Цели предлагаемого (действующего) правового регулирования: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актуализация и оптимизация порядка принятия решений об установлении стоимости платных услуг и работ, оказываемых муниципальными учреждениями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Действующие нормативные правовые акты, поручения, другие решения,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которых вытекает необходимость разработки (а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нализа) правового регулирования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данной области: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Федеральный закон от 06.10.2003 № 131-ФЗ «Об общих принципах организации местного самоуправления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Федеральный закон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от 12.01.1996 №7-ФЗ «О некоммерческих организациях»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Планируемый срок вступления в силу предлагаемого регулирования: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I полугодие 2026 года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Срок вступления в силу действующего регулирования: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со дня официального опубликования принятого решения Собрания представителей г.Владикавказ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Сведения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необходимости или отсутствии необходимости установления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переходного периода: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отсутствует необходимость в переходном периоде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Обоснование выбора предпочтительного варианта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правового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регулирования выявленной проблемы: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выбор варианта правового регулирования,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предусмотренного проектом, обусловлен необходимостью достижения целей предлагаемого правового регулирования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r>
    </w:p>
    <w:p>
      <w:pPr>
        <w:pStyle w:val="68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tbl>
      <w:tblPr>
        <w:tblpPr w:horzAnchor="margin" w:tblpXSpec="left" w:vertAnchor="text" w:tblpY="53" w:leftFromText="180" w:topFromText="0" w:rightFromText="180" w:bottomFromText="0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098"/>
        <w:gridCol w:w="4820"/>
      </w:tblGrid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варианта решения выявленной проблемы</w:t>
            </w:r>
            <w:r>
              <w:rPr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7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Предлагаемый вариант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Качественная характеристика и оценка динамики численности потенциальных адресатов регулирования в среднесрочном периоде (1 - 3 года)</w:t>
            </w:r>
            <w:r>
              <w:rPr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Проектом нормативного акта затрагиваются интересы неопределённого круга лиц. Исходя из чего, установить количество потенциальных адресатов предполагаемого правового регулирования не представляется возможным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дополнительных расходов (доходов) потенциальных адресатов регулирования, связанных с введением нового правового регулирования</w:t>
            </w:r>
            <w:r>
              <w:rPr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Принятие проекта нормативного акта не повлечет дополнительные расходы субъектов МСП, осуществляющих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предпринимательскую деятельность на территории муниципального образования город Владикавказ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расходов (доходов) муниципального бюджета, связанных с введением нового правового регулирования</w:t>
            </w:r>
            <w:r>
              <w:rPr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Принятие проекта нормативного акта не потребует выделения дополнительных средств из бюджета муниципального образования город Владикавказ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798"/>
        </w:trPr>
        <w:tc>
          <w:tcPr>
            <w:tcW w:w="5098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возможности достижения заявленных целей регулирования посредством применения рассматриваемых вариантов нового правового регулирования</w:t>
            </w:r>
            <w:r>
              <w:rPr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Цели регулирования будут достигнуты посредством принятия рассматриваемого нормативного акта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5098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рисков неблагоприятных последствий</w:t>
            </w:r>
            <w:r>
              <w:rPr>
                <w:sz w:val="26"/>
                <w:szCs w:val="26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pStyle w:val="6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Рисков неблагоприятных последствий не выявлено</w:t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677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67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уведомлению прилагаются: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hyperlink w:tooltip="#P283" w:anchor="P283" w:history="1">
        <w:r>
          <w:rPr>
            <w:color w:val="000000" w:themeColor="text1"/>
            <w:sz w:val="26"/>
            <w:szCs w:val="26"/>
          </w:rPr>
          <w:t xml:space="preserve">Перечень</w:t>
        </w:r>
      </w:hyperlink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 xml:space="preserve">вопросов для участников публичных </w:t>
      </w:r>
      <w:r>
        <w:rPr>
          <w:sz w:val="26"/>
          <w:szCs w:val="26"/>
        </w:rPr>
        <w:t xml:space="preserve">обсуждений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роект решения Собрания представителей г.Владикавказ «Об утверждении Порядка определения платы на услуги (работы), оказываемые (выполняемые) муниципальными учреждениями муниципального образования городской округ город Владикавказ на платной основе»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jc w:val="center"/>
        <w:rPr>
          <w:b/>
          <w:sz w:val="26"/>
          <w:szCs w:val="26"/>
        </w:rPr>
        <w:outlineLvl w:val="2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77"/>
        <w:jc w:val="center"/>
        <w:rPr>
          <w:b/>
          <w:sz w:val="26"/>
          <w:szCs w:val="26"/>
        </w:rPr>
        <w:outlineLvl w:val="2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77"/>
        <w:jc w:val="center"/>
        <w:rPr>
          <w:b/>
          <w:sz w:val="26"/>
          <w:szCs w:val="26"/>
        </w:rPr>
        <w:outlineLvl w:val="2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77"/>
        <w:rPr>
          <w:b/>
          <w:sz w:val="26"/>
          <w:szCs w:val="26"/>
        </w:rPr>
        <w:outlineLvl w:val="2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77"/>
        <w:jc w:val="center"/>
        <w:rPr>
          <w:b/>
          <w:sz w:val="26"/>
          <w:szCs w:val="26"/>
        </w:rPr>
        <w:outlineLvl w:val="2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77"/>
        <w:jc w:val="center"/>
        <w:rPr>
          <w:b/>
          <w:sz w:val="26"/>
          <w:szCs w:val="26"/>
        </w:rPr>
        <w:outlineLvl w:val="2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77"/>
        <w:jc w:val="center"/>
        <w:rPr>
          <w:b/>
          <w:sz w:val="26"/>
          <w:szCs w:val="26"/>
        </w:rPr>
        <w:outlineLvl w:val="2"/>
      </w:pPr>
      <w:r>
        <w:rPr>
          <w:b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еречень</w:t>
      </w:r>
      <w:r>
        <w:rPr>
          <w:b/>
          <w:sz w:val="26"/>
          <w:szCs w:val="26"/>
        </w:rPr>
        <w:t xml:space="preserve"> </w:t>
      </w:r>
      <w:bookmarkStart w:id="0" w:name="_GoBack"/>
      <w:r/>
      <w:bookmarkEnd w:id="0"/>
      <w:r>
        <w:rPr>
          <w:b/>
          <w:sz w:val="26"/>
          <w:szCs w:val="26"/>
        </w:rPr>
        <w:t xml:space="preserve">вопросов для публичного обсуждения нормативного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правового акта</w:t>
      </w:r>
      <w:r>
        <w:rPr>
          <w:b/>
          <w:sz w:val="26"/>
          <w:szCs w:val="26"/>
        </w:rPr>
      </w:r>
    </w:p>
    <w:p>
      <w:pPr>
        <w:pStyle w:val="677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 решение какой проблемы, на Ваш взгляд, направлено предлагаемое регулирование? Обоснуйте актуальность данной проблемы на территории г. Владикавказа?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2. Насколько цель предлагаемого регулирования соотносится с проблемой, на решение которой оно направлено? Достигнет ли, на Ваш взгляд, предлагаемое регулирование тех целей, на которые оно направлено?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3. Является ли выбранный вариант решения проблемы оптимальным (в том числе с точ</w:t>
      </w:r>
      <w:r>
        <w:rPr>
          <w:sz w:val="26"/>
          <w:szCs w:val="26"/>
        </w:rPr>
        <w:t xml:space="preserve">ки зрения выгод и издержек для общества в целом)? Существуют ли иные варианты достижения заявленных целей регулирования? Если да, выделите из предлагаемых или опишите тот вариант, который, по Вашему мнению, является менее затратным и/или более эффективным?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4. Какие, по Вашей оценке, субъекты предпринимательской и (или) инвестиционной деятельности будут затронуты предлагаемым регулированием (по видам субъектов, по отраслям, по территории, количеству и прочее)?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власти.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7. Существуют ли в предлагаемом регулировании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положению, дополнительно определив: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имеются ли технические ошибки;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приводит ли исполнение положений регулирования к избыточным действиям или, наоборот, ограничивает действия субъектов предпринимательской и (или) инвестиционной деятельности;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приводит ли исполнение положения к возникновению избыточных обязанностей субъектов предпринимательской и (или)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создает ли исполнение положений регулирования существенные риски ведения предпринимательской и (или) инвестиционной деятельности, способствует ли возникновению необоснованных прав органов местного самоуправления и </w:t>
      </w:r>
      <w:r>
        <w:rPr>
          <w:sz w:val="26"/>
          <w:szCs w:val="26"/>
        </w:rPr>
        <w:t xml:space="preserve">должностных лиц администрации, допускает ли возможность избирательного применения норм;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приводит ли к невозможно</w:t>
      </w:r>
      <w:r>
        <w:rPr>
          <w:sz w:val="26"/>
          <w:szCs w:val="26"/>
        </w:rPr>
        <w:t xml:space="preserve">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деятельности;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соответствует ли обычаям деловой практики, сложившейся в республике, либо существующим федеральным и международным практикам, используемым в данный момент.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>
        <w:rPr>
          <w:sz w:val="26"/>
          <w:szCs w:val="26"/>
        </w:rPr>
        <w:t xml:space="preserve">Оцените издержки/упущенную выгоду (прямого, административного характера) субъектов предпринимательской, инв</w:t>
      </w:r>
      <w:r>
        <w:rPr>
          <w:sz w:val="26"/>
          <w:szCs w:val="26"/>
        </w:rPr>
        <w:t xml:space="preserve">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</w:t>
      </w:r>
      <w:r>
        <w:rPr>
          <w:sz w:val="26"/>
          <w:szCs w:val="26"/>
        </w:rPr>
        <w:t xml:space="preserve">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>
        <w:rPr>
          <w:sz w:val="26"/>
          <w:szCs w:val="26"/>
        </w:rPr>
        <w:t xml:space="preserve">Какие, на Ваш взгляд, могут возникнуть </w:t>
      </w:r>
      <w:r>
        <w:rPr>
          <w:sz w:val="26"/>
          <w:szCs w:val="26"/>
        </w:rPr>
        <w:t xml:space="preserve">проблемы и трудности с контролем соблюдения требований и норм, вводимых новым регулированием?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>
        <w:rPr>
          <w:sz w:val="26"/>
          <w:szCs w:val="26"/>
        </w:rPr>
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  <w:r>
        <w:rPr>
          <w:sz w:val="26"/>
          <w:szCs w:val="26"/>
        </w:rPr>
      </w:r>
    </w:p>
    <w:p>
      <w:pPr>
        <w:pStyle w:val="677"/>
        <w:ind w:firstLine="540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>
        <w:rPr>
          <w:sz w:val="26"/>
          <w:szCs w:val="26"/>
        </w:rPr>
        <w:t xml:space="preserve"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pStyle w:val="677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jc w:val="both"/>
        <w:spacing w:before="20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9" w:h="16834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2"/>
    <w:link w:val="67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2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2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2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2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2"/>
    <w:link w:val="685"/>
    <w:uiPriority w:val="99"/>
  </w:style>
  <w:style w:type="character" w:styleId="45">
    <w:name w:val="Footer Char"/>
    <w:basedOn w:val="672"/>
    <w:link w:val="687"/>
    <w:uiPriority w:val="99"/>
  </w:style>
  <w:style w:type="paragraph" w:styleId="46">
    <w:name w:val="Caption"/>
    <w:basedOn w:val="669"/>
    <w:next w:val="66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2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2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</w:style>
  <w:style w:type="paragraph" w:styleId="670">
    <w:name w:val="Heading 1"/>
    <w:basedOn w:val="669"/>
    <w:next w:val="669"/>
    <w:link w:val="679"/>
    <w:qFormat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671">
    <w:name w:val="Heading 4"/>
    <w:basedOn w:val="669"/>
    <w:next w:val="669"/>
    <w:link w:val="680"/>
    <w:semiHidden/>
    <w:unhideWhenUsed/>
    <w:qFormat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character" w:styleId="672" w:default="1">
    <w:name w:val="Default Paragraph Font"/>
    <w:uiPriority w:val="1"/>
    <w:semiHidden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paragraph" w:styleId="675">
    <w:name w:val="Balloon Text"/>
    <w:basedOn w:val="669"/>
    <w:link w:val="6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6" w:customStyle="1">
    <w:name w:val="Текст выноски Знак"/>
    <w:basedOn w:val="672"/>
    <w:link w:val="675"/>
    <w:uiPriority w:val="99"/>
    <w:semiHidden/>
    <w:rPr>
      <w:rFonts w:ascii="Segoe UI" w:hAnsi="Segoe UI" w:cs="Segoe UI"/>
      <w:sz w:val="18"/>
      <w:szCs w:val="18"/>
    </w:rPr>
  </w:style>
  <w:style w:type="paragraph" w:styleId="677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8">
    <w:name w:val="List Paragraph"/>
    <w:basedOn w:val="669"/>
    <w:uiPriority w:val="34"/>
    <w:qFormat/>
    <w:pPr>
      <w:contextualSpacing/>
      <w:ind w:left="720"/>
    </w:pPr>
  </w:style>
  <w:style w:type="character" w:styleId="679" w:customStyle="1">
    <w:name w:val="Заголовок 1 Знак"/>
    <w:basedOn w:val="672"/>
    <w:link w:val="670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680" w:customStyle="1">
    <w:name w:val="Заголовок 4 Знак"/>
    <w:basedOn w:val="672"/>
    <w:link w:val="671"/>
    <w:semiHidden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styleId="681" w:customStyle="1">
    <w:name w:val="ConsTitle"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682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character" w:styleId="683">
    <w:name w:val="Hyperlink"/>
    <w:basedOn w:val="672"/>
    <w:uiPriority w:val="99"/>
    <w:unhideWhenUsed/>
    <w:rPr>
      <w:color w:val="0000ff"/>
      <w:u w:val="single"/>
    </w:rPr>
  </w:style>
  <w:style w:type="paragraph" w:styleId="684">
    <w:name w:val="Normal (Web)"/>
    <w:basedOn w:val="66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5">
    <w:name w:val="Header"/>
    <w:basedOn w:val="669"/>
    <w:link w:val="6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"/>
    <w:basedOn w:val="672"/>
    <w:link w:val="685"/>
    <w:uiPriority w:val="99"/>
  </w:style>
  <w:style w:type="paragraph" w:styleId="687">
    <w:name w:val="Footer"/>
    <w:basedOn w:val="669"/>
    <w:link w:val="6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8" w:customStyle="1">
    <w:name w:val="Нижний колонтитул Знак"/>
    <w:basedOn w:val="672"/>
    <w:link w:val="687"/>
    <w:uiPriority w:val="99"/>
  </w:style>
  <w:style w:type="paragraph" w:styleId="68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ladikavkaz-osetia.ru/" TargetMode="External"/><Relationship Id="rId11" Type="http://schemas.openxmlformats.org/officeDocument/2006/relationships/hyperlink" Target="https://vladikavkaz-oseti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A909-35AB-4E8E-8236-C1A5BDB9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Макоева</dc:creator>
  <cp:keywords/>
  <dc:description/>
  <cp:lastModifiedBy>t.tomaeva@vladikavkaz.alania.gov.ru</cp:lastModifiedBy>
  <cp:revision>24</cp:revision>
  <dcterms:created xsi:type="dcterms:W3CDTF">2026-02-19T11:51:00Z</dcterms:created>
  <dcterms:modified xsi:type="dcterms:W3CDTF">2026-02-24T09:17:53Z</dcterms:modified>
</cp:coreProperties>
</file>