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CF0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9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</w:t>
      </w:r>
      <w:r w:rsidR="00BA5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24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="00CF0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05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202</w:t>
      </w:r>
      <w:r w:rsidR="000C5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г.Владикавказа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362040, тел.: 70-76-05),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5B21" w:rsidRPr="00AF5B21" w:rsidRDefault="00AF5B21" w:rsidP="00AF5B2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AF5B21" w:rsidRPr="00AF5B21" w:rsidTr="00AF5B21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Площадь НТО,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Специализация НТО</w:t>
            </w:r>
          </w:p>
        </w:tc>
      </w:tr>
      <w:tr w:rsidR="00125A62" w:rsidRPr="00AF5B21" w:rsidTr="00AF5B21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C74C47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2"Б</w:t>
            </w:r>
            <w:r w:rsidR="00125A62"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288/1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Гадиева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РКБ)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Бородинская,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Бутаева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Гвардейская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Весенняя,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Гастело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65"а"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A96A8B" w:rsidRPr="00AF5B21" w:rsidTr="00A96A8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A8B" w:rsidRPr="00125A62" w:rsidRDefault="00A96A8B" w:rsidP="00A96A8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B" w:rsidRPr="003A133D" w:rsidRDefault="00A96A8B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/ ул. Ростовская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B" w:rsidRPr="003A133D" w:rsidRDefault="00A96A8B" w:rsidP="00A9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B" w:rsidRPr="003A133D" w:rsidRDefault="00A96A8B" w:rsidP="00A9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B" w:rsidRPr="003A133D" w:rsidRDefault="00A96A8B" w:rsidP="00A9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Гугкаева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61/1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Дзержинского, 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16"б"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Калинина/ 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Карла Маркса,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Кирова/ул. Маркова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Коблова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Братьев Темировых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Кольбуса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(Цыганский 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Леваневского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Маяковского,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Мичурина,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Мичурина/ 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Огнева,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Островского, 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Пожарского/ 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Черменскоешоссе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 (р-он рынка "Привоз")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Пушкинская, 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Строителей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транскама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С.Мамсурова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Чкалова/ ул. Заводская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Шегрена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12"в"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Зои Космодемьянской/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ул.Галковского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AF5B21" w:rsidRDefault="00125A62" w:rsidP="00D85E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076B9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41/1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D85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125A62" w:rsidRPr="00076B91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пл. 50 лет Октября,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84 (местный проезд)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Владикавказская/ ул. Гагкаева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FE721C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Дзержинского, 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FE721C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FE721C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FE721C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ул. Зои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Космодемьяской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1/2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Маркова,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125A62" w:rsidRDefault="009E6728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Первомайская,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Фрунзе,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21"а"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9E6728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9E6728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ТЦ Арктика)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 w:rsidR="00DB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9E6728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DB585B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</w:t>
            </w:r>
            <w:r w:rsidR="000766F1"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9E6728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 w:rsidR="00DB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9E6728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 w:rsidR="00DB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106D6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D61" w:rsidRPr="0003187B" w:rsidRDefault="009E6728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D85EA3" w:rsidRDefault="00106D61" w:rsidP="0010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D85EA3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D85EA3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D85EA3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 w:rsidR="00DB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9E6728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 w:rsidR="00DB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9E6728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ул. Братьев Темировых (со стороны ОЗАТЭ)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DB585B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</w:t>
            </w:r>
            <w:r w:rsidR="000766F1"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9E6728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D85EA3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 w:rsidR="00DB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5C6F14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изделий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Зортова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94</w:t>
            </w:r>
          </w:p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Кирова/ ул. Маркова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Кирова/ 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Максима Горького, 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Максима Горького/ ул. Декабристов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Маркова,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Маркуса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Джанаева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Морских пехотинцев,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Николаева,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питьевой и газированной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газированной воды,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питьев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газированной воды,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</w:tr>
      <w:tr w:rsidR="003A133D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морожен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</w:p>
        </w:tc>
      </w:tr>
      <w:tr w:rsidR="003A133D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Кутузова, 82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изация кондитерских изделий</w:t>
            </w:r>
          </w:p>
        </w:tc>
      </w:tr>
      <w:tr w:rsidR="003A133D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(р-он памятника Плиеву)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развлекательных услуг</w:t>
            </w:r>
          </w:p>
        </w:tc>
      </w:tr>
      <w:tr w:rsidR="003A133D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пл. Воссоединения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развлекательных услуг</w:t>
            </w:r>
          </w:p>
        </w:tc>
      </w:tr>
      <w:tr w:rsidR="003A133D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227 (площадь Победы)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развлекательных услуг</w:t>
            </w:r>
          </w:p>
        </w:tc>
      </w:tr>
      <w:tr w:rsidR="003A133D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развлекательных услуг</w:t>
            </w:r>
          </w:p>
        </w:tc>
      </w:tr>
      <w:tr w:rsidR="003A133D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Зортова</w:t>
            </w:r>
            <w:proofErr w:type="spellEnd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7"а" (набережная)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33D" w:rsidRPr="00D85EA3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развлекательных услуг</w:t>
            </w:r>
          </w:p>
        </w:tc>
      </w:tr>
      <w:tr w:rsidR="003A133D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 шоссе/ ул. Ватутина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пос. Заводской, Клубный проезд/ ул. Эдуарда Дзусова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257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/ ул. Черняховского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121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Братьев Щукиных, 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Бритаева/ ул. Калоева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/ ул. Гвардейская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7/4 (въезд с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Весенняя,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Весенняя,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Весенняя,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71 (двор дома)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Гагкаева, 1"а"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Гадиева, 58/3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Гастелло, 65"а"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Гвардейская, 40 (р-он отдела ГИБДД)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Генерала Дзусова, 5/5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139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Зой Космодемьянской/ пр.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Калинина/ 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Леонова, 5/2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Максима Горького/ ул. Декабристов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Международная,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Московская,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Николаева/ул. Минина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Павленко,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Пожарского/ 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Пушкинская/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7 (р-он картинг клуба)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Чапаева,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Шмулевича,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Шмулевича,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Шмулевича,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157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ул. Ватутина,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изделий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ул. Леонова, 5/1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изделий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ул. Ростовская,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изделий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 Мамсурова,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изделий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ул. Бородинская,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изделий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изделий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, 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5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изделий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03187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ул. Николаева,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03187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изделий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ул.Барбашова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ул.Ген.Дзусова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Черменское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168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ул.Ген.Дзусова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, 37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хлебо</w:t>
            </w: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булочных изделий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, 275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3A133D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, 277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3A133D" w:rsidRPr="00D74BC6" w:rsidTr="00D85EA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культур.</w:t>
            </w:r>
          </w:p>
        </w:tc>
      </w:tr>
      <w:tr w:rsidR="003A133D" w:rsidRPr="00D74BC6" w:rsidTr="00D85EA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27"а"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</w:tr>
      <w:tr w:rsidR="003A133D" w:rsidRPr="00D74BC6" w:rsidTr="00D85EA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</w:tr>
      <w:tr w:rsidR="003A133D" w:rsidRPr="00D74BC6" w:rsidTr="00D85EA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Московское шоссе, (р-он дендрария)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3D" w:rsidRPr="00DB585B" w:rsidRDefault="003A133D" w:rsidP="003A1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</w:tbl>
    <w:p w:rsidR="00C74C47" w:rsidRDefault="00C74C47" w:rsidP="000E7B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B48" w:rsidRPr="004043E8" w:rsidRDefault="000E7B48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</w:t>
      </w:r>
      <w:r w:rsidR="003104A2" w:rsidRPr="004043E8">
        <w:rPr>
          <w:rFonts w:ascii="Times New Roman" w:hAnsi="Times New Roman" w:cs="Times New Roman"/>
          <w:sz w:val="28"/>
          <w:lang w:eastAsia="ru-RU"/>
        </w:rPr>
        <w:t xml:space="preserve"> нестационарных т</w:t>
      </w:r>
      <w:r w:rsidR="00FD41AB" w:rsidRPr="004043E8">
        <w:rPr>
          <w:rFonts w:ascii="Times New Roman" w:hAnsi="Times New Roman" w:cs="Times New Roman"/>
          <w:sz w:val="28"/>
          <w:lang w:eastAsia="ru-RU"/>
        </w:rPr>
        <w:t>орговых объектов по лотам № 1-</w:t>
      </w:r>
      <w:r w:rsidR="00E60602" w:rsidRPr="004043E8">
        <w:rPr>
          <w:rFonts w:ascii="Times New Roman" w:hAnsi="Times New Roman" w:cs="Times New Roman"/>
          <w:sz w:val="28"/>
          <w:lang w:eastAsia="ru-RU"/>
        </w:rPr>
        <w:t>54 с 08</w:t>
      </w:r>
      <w:r w:rsidR="00CF04BD" w:rsidRPr="004043E8">
        <w:rPr>
          <w:rFonts w:ascii="Times New Roman" w:hAnsi="Times New Roman" w:cs="Times New Roman"/>
          <w:sz w:val="28"/>
          <w:lang w:eastAsia="ru-RU"/>
        </w:rPr>
        <w:t>.07</w:t>
      </w:r>
      <w:r w:rsidR="00FD41AB" w:rsidRPr="004043E8">
        <w:rPr>
          <w:rFonts w:ascii="Times New Roman" w:hAnsi="Times New Roman" w:cs="Times New Roman"/>
          <w:sz w:val="28"/>
          <w:lang w:eastAsia="ru-RU"/>
        </w:rPr>
        <w:t>.2021</w:t>
      </w:r>
      <w:r w:rsidR="003104A2" w:rsidRPr="004043E8">
        <w:rPr>
          <w:rFonts w:ascii="Times New Roman" w:hAnsi="Times New Roman" w:cs="Times New Roman"/>
          <w:sz w:val="28"/>
          <w:lang w:eastAsia="ru-RU"/>
        </w:rPr>
        <w:t xml:space="preserve"> г. по </w:t>
      </w:r>
      <w:r w:rsidR="00CF04BD" w:rsidRPr="004043E8">
        <w:rPr>
          <w:rFonts w:ascii="Times New Roman" w:hAnsi="Times New Roman" w:cs="Times New Roman"/>
          <w:sz w:val="28"/>
          <w:lang w:eastAsia="ru-RU"/>
        </w:rPr>
        <w:t>15</w:t>
      </w:r>
      <w:r w:rsidR="00FD41AB" w:rsidRPr="004043E8">
        <w:rPr>
          <w:rFonts w:ascii="Times New Roman" w:hAnsi="Times New Roman" w:cs="Times New Roman"/>
          <w:sz w:val="28"/>
          <w:lang w:eastAsia="ru-RU"/>
        </w:rPr>
        <w:t>.09.2021</w:t>
      </w:r>
      <w:r w:rsidR="003104A2"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3104A2" w:rsidRPr="004043E8" w:rsidRDefault="00FD41AB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 xml:space="preserve">Период размещения нестационарных торговых объектов по лотам № </w:t>
      </w:r>
      <w:r w:rsidR="00CF04BD" w:rsidRPr="004043E8">
        <w:rPr>
          <w:rFonts w:ascii="Times New Roman" w:hAnsi="Times New Roman" w:cs="Times New Roman"/>
          <w:sz w:val="28"/>
          <w:lang w:eastAsia="ru-RU"/>
        </w:rPr>
        <w:t>55</w:t>
      </w:r>
      <w:r w:rsidRPr="004043E8">
        <w:rPr>
          <w:rFonts w:ascii="Times New Roman" w:hAnsi="Times New Roman" w:cs="Times New Roman"/>
          <w:sz w:val="28"/>
          <w:lang w:eastAsia="ru-RU"/>
        </w:rPr>
        <w:t>-7</w:t>
      </w:r>
      <w:r w:rsidR="00CF04BD" w:rsidRPr="004043E8">
        <w:rPr>
          <w:rFonts w:ascii="Times New Roman" w:hAnsi="Times New Roman" w:cs="Times New Roman"/>
          <w:sz w:val="28"/>
          <w:lang w:eastAsia="ru-RU"/>
        </w:rPr>
        <w:t>1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с </w:t>
      </w:r>
      <w:r w:rsidR="00E60602" w:rsidRPr="004043E8">
        <w:rPr>
          <w:rFonts w:ascii="Times New Roman" w:hAnsi="Times New Roman" w:cs="Times New Roman"/>
          <w:sz w:val="28"/>
          <w:lang w:eastAsia="ru-RU"/>
        </w:rPr>
        <w:t>08</w:t>
      </w:r>
      <w:r w:rsidR="00CF04BD" w:rsidRPr="004043E8">
        <w:rPr>
          <w:rFonts w:ascii="Times New Roman" w:hAnsi="Times New Roman" w:cs="Times New Roman"/>
          <w:sz w:val="28"/>
          <w:lang w:eastAsia="ru-RU"/>
        </w:rPr>
        <w:t>.07.2021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 по 15.09.2021 г.</w:t>
      </w:r>
      <w:r w:rsidR="00C84E22" w:rsidRPr="004043E8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FD41AB" w:rsidRPr="004043E8" w:rsidRDefault="00FD41AB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 xml:space="preserve">Период размещения нестационарных торговых объектов по лотам № </w:t>
      </w:r>
      <w:r w:rsidR="00D04801" w:rsidRPr="004043E8">
        <w:rPr>
          <w:rFonts w:ascii="Times New Roman" w:hAnsi="Times New Roman" w:cs="Times New Roman"/>
          <w:sz w:val="28"/>
          <w:lang w:eastAsia="ru-RU"/>
        </w:rPr>
        <w:t>72</w:t>
      </w:r>
      <w:r w:rsidRPr="004043E8">
        <w:rPr>
          <w:rFonts w:ascii="Times New Roman" w:hAnsi="Times New Roman" w:cs="Times New Roman"/>
          <w:sz w:val="28"/>
          <w:lang w:eastAsia="ru-RU"/>
        </w:rPr>
        <w:t>-</w:t>
      </w:r>
      <w:r w:rsidR="003A133D" w:rsidRPr="004043E8">
        <w:rPr>
          <w:rFonts w:ascii="Times New Roman" w:hAnsi="Times New Roman" w:cs="Times New Roman"/>
          <w:sz w:val="28"/>
          <w:lang w:eastAsia="ru-RU"/>
        </w:rPr>
        <w:t>79, 81</w:t>
      </w:r>
      <w:r w:rsidR="00C84E22" w:rsidRPr="004043E8">
        <w:rPr>
          <w:rFonts w:ascii="Times New Roman" w:hAnsi="Times New Roman" w:cs="Times New Roman"/>
          <w:sz w:val="28"/>
          <w:lang w:eastAsia="ru-RU"/>
        </w:rPr>
        <w:t>-110</w:t>
      </w:r>
      <w:r w:rsidR="00C95957" w:rsidRPr="004043E8">
        <w:rPr>
          <w:rFonts w:ascii="Times New Roman" w:hAnsi="Times New Roman" w:cs="Times New Roman"/>
          <w:sz w:val="28"/>
          <w:lang w:eastAsia="ru-RU"/>
        </w:rPr>
        <w:t xml:space="preserve"> с </w:t>
      </w:r>
      <w:r w:rsidR="00E60602" w:rsidRPr="004043E8">
        <w:rPr>
          <w:rFonts w:ascii="Times New Roman" w:hAnsi="Times New Roman" w:cs="Times New Roman"/>
          <w:sz w:val="28"/>
          <w:lang w:eastAsia="ru-RU"/>
        </w:rPr>
        <w:t>08</w:t>
      </w:r>
      <w:r w:rsidR="00CF04BD" w:rsidRPr="004043E8">
        <w:rPr>
          <w:rFonts w:ascii="Times New Roman" w:hAnsi="Times New Roman" w:cs="Times New Roman"/>
          <w:sz w:val="28"/>
          <w:lang w:eastAsia="ru-RU"/>
        </w:rPr>
        <w:t>.07.2021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 по </w:t>
      </w:r>
      <w:r w:rsidR="00C95957" w:rsidRPr="004043E8">
        <w:rPr>
          <w:rFonts w:ascii="Times New Roman" w:hAnsi="Times New Roman" w:cs="Times New Roman"/>
          <w:sz w:val="28"/>
          <w:lang w:eastAsia="ru-RU"/>
        </w:rPr>
        <w:t>31.10</w:t>
      </w:r>
      <w:r w:rsidRPr="004043E8">
        <w:rPr>
          <w:rFonts w:ascii="Times New Roman" w:hAnsi="Times New Roman" w:cs="Times New Roman"/>
          <w:sz w:val="28"/>
          <w:lang w:eastAsia="ru-RU"/>
        </w:rPr>
        <w:t>.2021 г.</w:t>
      </w:r>
    </w:p>
    <w:p w:rsidR="00C84E22" w:rsidRPr="004043E8" w:rsidRDefault="00C84E22" w:rsidP="00C84E2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 xml:space="preserve">Период размещения нестационарного торгового объекта по лоту № </w:t>
      </w:r>
      <w:r w:rsidRPr="004043E8">
        <w:rPr>
          <w:rFonts w:ascii="Times New Roman" w:hAnsi="Times New Roman" w:cs="Times New Roman"/>
          <w:sz w:val="28"/>
          <w:lang w:eastAsia="ru-RU"/>
        </w:rPr>
        <w:t>80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с 08.07.2021 г. по 07.07.2023 г</w:t>
      </w:r>
      <w:r w:rsidRPr="004043E8">
        <w:rPr>
          <w:rFonts w:ascii="Times New Roman" w:hAnsi="Times New Roman" w:cs="Times New Roman"/>
          <w:sz w:val="28"/>
          <w:lang w:eastAsia="ru-RU"/>
        </w:rPr>
        <w:t>.</w:t>
      </w:r>
    </w:p>
    <w:p w:rsidR="00C95957" w:rsidRPr="004043E8" w:rsidRDefault="00C95957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 нестационарн</w:t>
      </w:r>
      <w:r w:rsidR="0003187B" w:rsidRPr="004043E8">
        <w:rPr>
          <w:rFonts w:ascii="Times New Roman" w:hAnsi="Times New Roman" w:cs="Times New Roman"/>
          <w:sz w:val="28"/>
          <w:lang w:eastAsia="ru-RU"/>
        </w:rPr>
        <w:t>ого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торгов</w:t>
      </w:r>
      <w:r w:rsidR="0003187B" w:rsidRPr="004043E8">
        <w:rPr>
          <w:rFonts w:ascii="Times New Roman" w:hAnsi="Times New Roman" w:cs="Times New Roman"/>
          <w:sz w:val="28"/>
          <w:lang w:eastAsia="ru-RU"/>
        </w:rPr>
        <w:t>ого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объект</w:t>
      </w:r>
      <w:r w:rsidR="0003187B" w:rsidRPr="004043E8">
        <w:rPr>
          <w:rFonts w:ascii="Times New Roman" w:hAnsi="Times New Roman" w:cs="Times New Roman"/>
          <w:sz w:val="28"/>
          <w:lang w:eastAsia="ru-RU"/>
        </w:rPr>
        <w:t>а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по лот</w:t>
      </w:r>
      <w:r w:rsidR="0003187B" w:rsidRPr="004043E8">
        <w:rPr>
          <w:rFonts w:ascii="Times New Roman" w:hAnsi="Times New Roman" w:cs="Times New Roman"/>
          <w:sz w:val="28"/>
          <w:lang w:eastAsia="ru-RU"/>
        </w:rPr>
        <w:t xml:space="preserve">у 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№ </w:t>
      </w:r>
      <w:r w:rsidR="00D04801" w:rsidRPr="004043E8">
        <w:rPr>
          <w:rFonts w:ascii="Times New Roman" w:hAnsi="Times New Roman" w:cs="Times New Roman"/>
          <w:sz w:val="28"/>
          <w:lang w:eastAsia="ru-RU"/>
        </w:rPr>
        <w:t>11</w:t>
      </w:r>
      <w:r w:rsidR="00C84E22" w:rsidRPr="004043E8">
        <w:rPr>
          <w:rFonts w:ascii="Times New Roman" w:hAnsi="Times New Roman" w:cs="Times New Roman"/>
          <w:sz w:val="28"/>
          <w:lang w:eastAsia="ru-RU"/>
        </w:rPr>
        <w:t xml:space="preserve">1 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с </w:t>
      </w:r>
      <w:r w:rsidR="00E60602" w:rsidRPr="004043E8">
        <w:rPr>
          <w:rFonts w:ascii="Times New Roman" w:hAnsi="Times New Roman" w:cs="Times New Roman"/>
          <w:sz w:val="28"/>
          <w:lang w:eastAsia="ru-RU"/>
        </w:rPr>
        <w:t>08</w:t>
      </w:r>
      <w:r w:rsidR="00CF04BD" w:rsidRPr="004043E8">
        <w:rPr>
          <w:rFonts w:ascii="Times New Roman" w:hAnsi="Times New Roman" w:cs="Times New Roman"/>
          <w:sz w:val="28"/>
          <w:lang w:eastAsia="ru-RU"/>
        </w:rPr>
        <w:t>.07.2021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 по 31.10.2021 г.</w:t>
      </w:r>
    </w:p>
    <w:p w:rsidR="00C95957" w:rsidRPr="004043E8" w:rsidRDefault="00C95957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 xml:space="preserve">Период размещения нестационарных торговых объектов по лотам № </w:t>
      </w:r>
      <w:r w:rsidR="00D04801" w:rsidRPr="004043E8">
        <w:rPr>
          <w:rFonts w:ascii="Times New Roman" w:hAnsi="Times New Roman" w:cs="Times New Roman"/>
          <w:sz w:val="28"/>
          <w:lang w:eastAsia="ru-RU"/>
        </w:rPr>
        <w:t>11</w:t>
      </w:r>
      <w:r w:rsidR="00C84E22" w:rsidRPr="004043E8">
        <w:rPr>
          <w:rFonts w:ascii="Times New Roman" w:hAnsi="Times New Roman" w:cs="Times New Roman"/>
          <w:sz w:val="28"/>
          <w:lang w:eastAsia="ru-RU"/>
        </w:rPr>
        <w:t>2</w:t>
      </w:r>
      <w:r w:rsidRPr="004043E8">
        <w:rPr>
          <w:rFonts w:ascii="Times New Roman" w:hAnsi="Times New Roman" w:cs="Times New Roman"/>
          <w:sz w:val="28"/>
          <w:lang w:eastAsia="ru-RU"/>
        </w:rPr>
        <w:t>-</w:t>
      </w:r>
      <w:r w:rsidR="00D04801" w:rsidRPr="004043E8">
        <w:rPr>
          <w:rFonts w:ascii="Times New Roman" w:hAnsi="Times New Roman" w:cs="Times New Roman"/>
          <w:sz w:val="28"/>
          <w:lang w:eastAsia="ru-RU"/>
        </w:rPr>
        <w:t>11</w:t>
      </w:r>
      <w:r w:rsidR="00C84E22" w:rsidRPr="004043E8">
        <w:rPr>
          <w:rFonts w:ascii="Times New Roman" w:hAnsi="Times New Roman" w:cs="Times New Roman"/>
          <w:sz w:val="28"/>
          <w:lang w:eastAsia="ru-RU"/>
        </w:rPr>
        <w:t>6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с </w:t>
      </w:r>
      <w:r w:rsidR="003F42CC" w:rsidRPr="004043E8">
        <w:rPr>
          <w:rFonts w:ascii="Times New Roman" w:hAnsi="Times New Roman" w:cs="Times New Roman"/>
          <w:sz w:val="28"/>
          <w:lang w:eastAsia="ru-RU"/>
        </w:rPr>
        <w:t>08</w:t>
      </w:r>
      <w:r w:rsidR="00D04801" w:rsidRPr="004043E8">
        <w:rPr>
          <w:rFonts w:ascii="Times New Roman" w:hAnsi="Times New Roman" w:cs="Times New Roman"/>
          <w:sz w:val="28"/>
          <w:lang w:eastAsia="ru-RU"/>
        </w:rPr>
        <w:t>.07.2021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 по 31.10.2021 г.</w:t>
      </w:r>
    </w:p>
    <w:p w:rsidR="00D04801" w:rsidRPr="004043E8" w:rsidRDefault="00D04801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 xml:space="preserve">Период размещения нестационарных торговых </w:t>
      </w:r>
      <w:r w:rsidR="003F42CC" w:rsidRPr="004043E8">
        <w:rPr>
          <w:rFonts w:ascii="Times New Roman" w:hAnsi="Times New Roman" w:cs="Times New Roman"/>
          <w:sz w:val="28"/>
          <w:lang w:eastAsia="ru-RU"/>
        </w:rPr>
        <w:t>объектов по лотам № 11</w:t>
      </w:r>
      <w:r w:rsidR="00C84E22" w:rsidRPr="004043E8">
        <w:rPr>
          <w:rFonts w:ascii="Times New Roman" w:hAnsi="Times New Roman" w:cs="Times New Roman"/>
          <w:sz w:val="28"/>
          <w:lang w:eastAsia="ru-RU"/>
        </w:rPr>
        <w:t>7</w:t>
      </w:r>
      <w:r w:rsidR="003F42CC" w:rsidRPr="004043E8">
        <w:rPr>
          <w:rFonts w:ascii="Times New Roman" w:hAnsi="Times New Roman" w:cs="Times New Roman"/>
          <w:sz w:val="28"/>
          <w:lang w:eastAsia="ru-RU"/>
        </w:rPr>
        <w:t>-15</w:t>
      </w:r>
      <w:r w:rsidR="00C84E22" w:rsidRPr="004043E8">
        <w:rPr>
          <w:rFonts w:ascii="Times New Roman" w:hAnsi="Times New Roman" w:cs="Times New Roman"/>
          <w:sz w:val="28"/>
          <w:lang w:eastAsia="ru-RU"/>
        </w:rPr>
        <w:t>6</w:t>
      </w:r>
      <w:r w:rsidR="003F42CC" w:rsidRPr="004043E8">
        <w:rPr>
          <w:rFonts w:ascii="Times New Roman" w:hAnsi="Times New Roman" w:cs="Times New Roman"/>
          <w:sz w:val="28"/>
          <w:lang w:eastAsia="ru-RU"/>
        </w:rPr>
        <w:t xml:space="preserve"> с 08</w:t>
      </w:r>
      <w:r w:rsidRPr="004043E8">
        <w:rPr>
          <w:rFonts w:ascii="Times New Roman" w:hAnsi="Times New Roman" w:cs="Times New Roman"/>
          <w:sz w:val="28"/>
          <w:lang w:eastAsia="ru-RU"/>
        </w:rPr>
        <w:t>.07.2021 г. по 30.09.2021 г.</w:t>
      </w:r>
    </w:p>
    <w:p w:rsidR="00D04801" w:rsidRPr="004043E8" w:rsidRDefault="00D04801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 xml:space="preserve">Период размещения нестационарных торговых объектов по лотам № </w:t>
      </w:r>
      <w:r w:rsidR="00C84E22" w:rsidRPr="004043E8">
        <w:rPr>
          <w:rFonts w:ascii="Times New Roman" w:hAnsi="Times New Roman" w:cs="Times New Roman"/>
          <w:sz w:val="28"/>
          <w:lang w:eastAsia="ru-RU"/>
        </w:rPr>
        <w:t>157-164</w:t>
      </w:r>
      <w:r w:rsidR="007467D7" w:rsidRPr="004043E8">
        <w:rPr>
          <w:rFonts w:ascii="Times New Roman" w:hAnsi="Times New Roman" w:cs="Times New Roman"/>
          <w:sz w:val="28"/>
          <w:lang w:eastAsia="ru-RU"/>
        </w:rPr>
        <w:t xml:space="preserve"> с </w:t>
      </w:r>
      <w:r w:rsidR="005750C6" w:rsidRPr="004043E8">
        <w:rPr>
          <w:rFonts w:ascii="Times New Roman" w:hAnsi="Times New Roman" w:cs="Times New Roman"/>
          <w:sz w:val="28"/>
          <w:lang w:eastAsia="ru-RU"/>
        </w:rPr>
        <w:t>08.07.2021 г. по 07</w:t>
      </w:r>
      <w:r w:rsidR="007467D7" w:rsidRPr="004043E8">
        <w:rPr>
          <w:rFonts w:ascii="Times New Roman" w:hAnsi="Times New Roman" w:cs="Times New Roman"/>
          <w:sz w:val="28"/>
          <w:lang w:eastAsia="ru-RU"/>
        </w:rPr>
        <w:t>.07.2026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E60602" w:rsidRPr="004043E8" w:rsidRDefault="007467D7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</w:t>
      </w:r>
      <w:r w:rsidR="00267A0B" w:rsidRPr="004043E8">
        <w:rPr>
          <w:rFonts w:ascii="Times New Roman" w:hAnsi="Times New Roman" w:cs="Times New Roman"/>
          <w:sz w:val="28"/>
          <w:lang w:eastAsia="ru-RU"/>
        </w:rPr>
        <w:t>ериод размещения нестационарных торговых объектов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по лоту № </w:t>
      </w:r>
      <w:r w:rsidR="00DE1C66" w:rsidRPr="004043E8">
        <w:rPr>
          <w:rFonts w:ascii="Times New Roman" w:hAnsi="Times New Roman" w:cs="Times New Roman"/>
          <w:sz w:val="28"/>
          <w:lang w:eastAsia="ru-RU"/>
        </w:rPr>
        <w:t>165</w:t>
      </w:r>
      <w:r w:rsidR="00E60602" w:rsidRPr="004043E8">
        <w:rPr>
          <w:rFonts w:ascii="Times New Roman" w:hAnsi="Times New Roman" w:cs="Times New Roman"/>
          <w:sz w:val="28"/>
          <w:lang w:eastAsia="ru-RU"/>
        </w:rPr>
        <w:t>-168</w:t>
      </w:r>
      <w:r w:rsidR="005750C6" w:rsidRPr="004043E8">
        <w:rPr>
          <w:rFonts w:ascii="Times New Roman" w:hAnsi="Times New Roman" w:cs="Times New Roman"/>
          <w:sz w:val="28"/>
          <w:lang w:eastAsia="ru-RU"/>
        </w:rPr>
        <w:t xml:space="preserve"> с 08.07.2021 г. по 07</w:t>
      </w:r>
      <w:r w:rsidR="00B67341" w:rsidRPr="004043E8">
        <w:rPr>
          <w:rFonts w:ascii="Times New Roman" w:hAnsi="Times New Roman" w:cs="Times New Roman"/>
          <w:sz w:val="28"/>
          <w:lang w:eastAsia="ru-RU"/>
        </w:rPr>
        <w:t>.07.2023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E60602" w:rsidRPr="004043E8">
        <w:rPr>
          <w:rFonts w:ascii="Times New Roman" w:hAnsi="Times New Roman" w:cs="Times New Roman"/>
          <w:sz w:val="28"/>
          <w:lang w:eastAsia="ru-RU"/>
        </w:rPr>
        <w:t>.</w:t>
      </w:r>
      <w:r w:rsidR="00C84E22" w:rsidRPr="004043E8">
        <w:rPr>
          <w:rFonts w:ascii="Times New Roman" w:hAnsi="Times New Roman" w:cs="Times New Roman"/>
          <w:sz w:val="24"/>
          <w:szCs w:val="24"/>
        </w:rPr>
        <w:t xml:space="preserve"> </w:t>
      </w:r>
      <w:r w:rsidR="00E60602" w:rsidRPr="004043E8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C84E22" w:rsidRPr="004043E8" w:rsidRDefault="00C84E22" w:rsidP="004043E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lastRenderedPageBreak/>
        <w:t xml:space="preserve">Период размещения нестационарного торгового объекта по лоту № </w:t>
      </w:r>
      <w:r w:rsidRPr="004043E8">
        <w:rPr>
          <w:rFonts w:ascii="Times New Roman" w:hAnsi="Times New Roman" w:cs="Times New Roman"/>
          <w:sz w:val="28"/>
          <w:lang w:eastAsia="ru-RU"/>
        </w:rPr>
        <w:t>169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с 08.07.2021 г. по 07.07.2023 г.</w:t>
      </w:r>
    </w:p>
    <w:p w:rsidR="00EF499D" w:rsidRPr="004043E8" w:rsidRDefault="00EF499D" w:rsidP="004043E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 нестационарных т</w:t>
      </w:r>
      <w:r w:rsidR="00267A0B" w:rsidRPr="004043E8">
        <w:rPr>
          <w:rFonts w:ascii="Times New Roman" w:hAnsi="Times New Roman" w:cs="Times New Roman"/>
          <w:sz w:val="28"/>
          <w:lang w:eastAsia="ru-RU"/>
        </w:rPr>
        <w:t>орговых объектов по лотам № 1</w:t>
      </w:r>
      <w:r w:rsidR="005750C6" w:rsidRPr="004043E8">
        <w:rPr>
          <w:rFonts w:ascii="Times New Roman" w:hAnsi="Times New Roman" w:cs="Times New Roman"/>
          <w:sz w:val="28"/>
          <w:lang w:eastAsia="ru-RU"/>
        </w:rPr>
        <w:t>70</w:t>
      </w:r>
      <w:r w:rsidRPr="004043E8">
        <w:rPr>
          <w:rFonts w:ascii="Times New Roman" w:hAnsi="Times New Roman" w:cs="Times New Roman"/>
          <w:sz w:val="28"/>
          <w:lang w:eastAsia="ru-RU"/>
        </w:rPr>
        <w:t>-</w:t>
      </w:r>
      <w:r w:rsidR="005750C6" w:rsidRPr="004043E8">
        <w:rPr>
          <w:rFonts w:ascii="Times New Roman" w:hAnsi="Times New Roman" w:cs="Times New Roman"/>
          <w:sz w:val="28"/>
          <w:lang w:eastAsia="ru-RU"/>
        </w:rPr>
        <w:t>171 с 08</w:t>
      </w:r>
      <w:r w:rsidRPr="004043E8">
        <w:rPr>
          <w:rFonts w:ascii="Times New Roman" w:hAnsi="Times New Roman" w:cs="Times New Roman"/>
          <w:sz w:val="28"/>
          <w:lang w:eastAsia="ru-RU"/>
        </w:rPr>
        <w:t>.07.2021 г. по 15.09.2021 г.</w:t>
      </w:r>
    </w:p>
    <w:p w:rsidR="00267A0B" w:rsidRDefault="00267A0B" w:rsidP="00404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 нестационарного</w:t>
      </w:r>
      <w:r w:rsidR="005750C6" w:rsidRPr="004043E8">
        <w:rPr>
          <w:rFonts w:ascii="Times New Roman" w:hAnsi="Times New Roman" w:cs="Times New Roman"/>
          <w:sz w:val="28"/>
          <w:lang w:eastAsia="ru-RU"/>
        </w:rPr>
        <w:t xml:space="preserve"> торгового объекта по лоту № 172</w:t>
      </w:r>
      <w:r w:rsidR="00C84E22" w:rsidRPr="004043E8">
        <w:rPr>
          <w:rFonts w:ascii="Times New Roman" w:hAnsi="Times New Roman" w:cs="Times New Roman"/>
          <w:sz w:val="28"/>
          <w:lang w:eastAsia="ru-RU"/>
        </w:rPr>
        <w:t>-175</w:t>
      </w:r>
      <w:r w:rsidR="005750C6" w:rsidRPr="004043E8">
        <w:rPr>
          <w:rFonts w:ascii="Times New Roman" w:hAnsi="Times New Roman" w:cs="Times New Roman"/>
          <w:sz w:val="28"/>
          <w:lang w:eastAsia="ru-RU"/>
        </w:rPr>
        <w:t xml:space="preserve"> с 08.07.2021 г. по 07</w:t>
      </w:r>
      <w:r w:rsidRPr="004043E8">
        <w:rPr>
          <w:rFonts w:ascii="Times New Roman" w:hAnsi="Times New Roman" w:cs="Times New Roman"/>
          <w:sz w:val="28"/>
          <w:lang w:eastAsia="ru-RU"/>
        </w:rPr>
        <w:t>.07.2023 г.</w:t>
      </w:r>
      <w:r w:rsidR="00C8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3E8" w:rsidRDefault="004043E8" w:rsidP="00404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3E8" w:rsidRPr="003A133D" w:rsidRDefault="004043E8" w:rsidP="004043E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0E7B48" w:rsidRPr="00EF4E64" w:rsidRDefault="000E7B48" w:rsidP="004043E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</w:t>
      </w:r>
      <w:r w:rsidR="003104A2" w:rsidRPr="00EF4E64">
        <w:rPr>
          <w:rFonts w:ascii="Times New Roman" w:hAnsi="Times New Roman" w:cs="Times New Roman"/>
          <w:sz w:val="28"/>
          <w:lang w:eastAsia="ru-RU"/>
        </w:rPr>
        <w:t xml:space="preserve">по </w:t>
      </w:r>
      <w:r w:rsidRPr="00EF4E64">
        <w:rPr>
          <w:rFonts w:ascii="Times New Roman" w:hAnsi="Times New Roman" w:cs="Times New Roman"/>
          <w:sz w:val="28"/>
          <w:lang w:eastAsia="ru-RU"/>
        </w:rPr>
        <w:t>Лота</w:t>
      </w:r>
      <w:r w:rsidR="003104A2" w:rsidRPr="00EF4E64">
        <w:rPr>
          <w:rFonts w:ascii="Times New Roman" w:hAnsi="Times New Roman" w:cs="Times New Roman"/>
          <w:sz w:val="28"/>
          <w:lang w:eastAsia="ru-RU"/>
        </w:rPr>
        <w:t xml:space="preserve">м № </w:t>
      </w:r>
      <w:r w:rsidR="00C95957" w:rsidRPr="00EF4E64">
        <w:rPr>
          <w:rFonts w:ascii="Times New Roman" w:hAnsi="Times New Roman" w:cs="Times New Roman"/>
          <w:b/>
          <w:sz w:val="28"/>
          <w:lang w:eastAsia="ru-RU"/>
        </w:rPr>
        <w:t>1-</w:t>
      </w:r>
      <w:r w:rsidR="00CF04BD" w:rsidRPr="00EF4E64">
        <w:rPr>
          <w:rFonts w:ascii="Times New Roman" w:hAnsi="Times New Roman" w:cs="Times New Roman"/>
          <w:b/>
          <w:sz w:val="28"/>
          <w:lang w:eastAsia="ru-RU"/>
        </w:rPr>
        <w:t>54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5750C6" w:rsidRPr="00EF4E64">
        <w:rPr>
          <w:rFonts w:ascii="Times New Roman" w:hAnsi="Times New Roman" w:cs="Times New Roman"/>
          <w:sz w:val="28"/>
          <w:lang w:eastAsia="ru-RU"/>
        </w:rPr>
        <w:t>2 900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0E7B48" w:rsidRPr="00EF4E64" w:rsidRDefault="000E7B48" w:rsidP="004043E8">
      <w:pPr>
        <w:pStyle w:val="a3"/>
        <w:ind w:left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5750C6" w:rsidRPr="00EF4E64">
        <w:rPr>
          <w:rFonts w:ascii="Times New Roman" w:hAnsi="Times New Roman" w:cs="Times New Roman"/>
          <w:sz w:val="28"/>
          <w:lang w:eastAsia="ru-RU"/>
        </w:rPr>
        <w:t>580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94C11" w:rsidRPr="00EF4E64" w:rsidRDefault="00E94C11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 w:rsidR="007467D7" w:rsidRPr="00EF4E64">
        <w:rPr>
          <w:rFonts w:ascii="Times New Roman" w:hAnsi="Times New Roman" w:cs="Times New Roman"/>
          <w:b/>
          <w:sz w:val="28"/>
          <w:lang w:eastAsia="ru-RU"/>
        </w:rPr>
        <w:t>№ 55-71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443A2D" w:rsidRPr="00EF4E64">
        <w:rPr>
          <w:rFonts w:ascii="Times New Roman" w:hAnsi="Times New Roman" w:cs="Times New Roman"/>
          <w:sz w:val="28"/>
          <w:lang w:eastAsia="ru-RU"/>
        </w:rPr>
        <w:t>1 934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Pr="00EF4E64" w:rsidRDefault="00E94C11" w:rsidP="004043E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443A2D" w:rsidRPr="00EF4E64">
        <w:rPr>
          <w:rFonts w:ascii="Times New Roman" w:hAnsi="Times New Roman" w:cs="Times New Roman"/>
          <w:sz w:val="28"/>
          <w:lang w:eastAsia="ru-RU"/>
        </w:rPr>
        <w:t>387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D4330C" w:rsidRPr="00EF4E64" w:rsidRDefault="00D4330C" w:rsidP="004043E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 w:rsidR="007467D7" w:rsidRPr="00EF4E64">
        <w:rPr>
          <w:rFonts w:ascii="Times New Roman" w:hAnsi="Times New Roman" w:cs="Times New Roman"/>
          <w:b/>
          <w:sz w:val="28"/>
          <w:lang w:eastAsia="ru-RU"/>
        </w:rPr>
        <w:t>72-</w:t>
      </w:r>
      <w:r w:rsidR="00C84E22" w:rsidRPr="00EF4E64">
        <w:rPr>
          <w:rFonts w:ascii="Times New Roman" w:hAnsi="Times New Roman" w:cs="Times New Roman"/>
          <w:b/>
          <w:sz w:val="28"/>
          <w:lang w:eastAsia="ru-RU"/>
        </w:rPr>
        <w:t>79, 81-110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443A2D" w:rsidRPr="00EF4E64">
        <w:rPr>
          <w:rFonts w:ascii="Times New Roman" w:hAnsi="Times New Roman" w:cs="Times New Roman"/>
          <w:sz w:val="28"/>
          <w:lang w:eastAsia="ru-RU"/>
        </w:rPr>
        <w:t>5</w:t>
      </w:r>
      <w:r w:rsidR="005818D9" w:rsidRPr="00EF4E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443A2D" w:rsidRPr="00EF4E64">
        <w:rPr>
          <w:rFonts w:ascii="Times New Roman" w:hAnsi="Times New Roman" w:cs="Times New Roman"/>
          <w:sz w:val="28"/>
          <w:lang w:eastAsia="ru-RU"/>
        </w:rPr>
        <w:t>031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Pr="00EF4E64" w:rsidRDefault="00D4330C" w:rsidP="004043E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443A2D" w:rsidRPr="00EF4E64">
        <w:rPr>
          <w:rFonts w:ascii="Times New Roman" w:hAnsi="Times New Roman" w:cs="Times New Roman"/>
          <w:sz w:val="28"/>
          <w:lang w:eastAsia="ru-RU"/>
        </w:rPr>
        <w:t>1007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F4E64" w:rsidRPr="00EF4E64" w:rsidRDefault="00EF4E64" w:rsidP="00EF4E64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11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1 911 руб. за указанный период. </w:t>
      </w:r>
    </w:p>
    <w:p w:rsidR="00EF4E64" w:rsidRPr="00EF4E64" w:rsidRDefault="00EF4E64" w:rsidP="00EF4E6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задатка 383 руб.</w:t>
      </w:r>
    </w:p>
    <w:p w:rsidR="00EF4E64" w:rsidRPr="00EF4E64" w:rsidRDefault="00EF4E64" w:rsidP="00EF4E6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112-114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составляет 10 176 руб. за указанный период. </w:t>
      </w:r>
    </w:p>
    <w:p w:rsidR="00EF4E64" w:rsidRPr="00EF4E64" w:rsidRDefault="00EF4E64" w:rsidP="00EF4E6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задатка 2 036 руб.</w:t>
      </w:r>
    </w:p>
    <w:p w:rsidR="00EF4E64" w:rsidRPr="00EF4E64" w:rsidRDefault="00EF4E64" w:rsidP="00EF4E64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11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5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7 632 руб. за указанный период. </w:t>
      </w:r>
    </w:p>
    <w:p w:rsidR="00EF4E64" w:rsidRPr="00EF4E64" w:rsidRDefault="00EF4E64" w:rsidP="00EF4E6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задатка 1 527 руб.</w:t>
      </w:r>
    </w:p>
    <w:p w:rsidR="00EF4E64" w:rsidRPr="00EF4E64" w:rsidRDefault="00EF4E64" w:rsidP="00EF4E64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11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6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6 360 руб. за указанный период. </w:t>
      </w:r>
    </w:p>
    <w:p w:rsidR="00EF4E64" w:rsidRPr="00EF4E64" w:rsidRDefault="00EF4E64" w:rsidP="00EF4E6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задатка 1 272 руб.</w:t>
      </w:r>
    </w:p>
    <w:p w:rsidR="00EF4E64" w:rsidRPr="00EF4E64" w:rsidRDefault="00EF4E64" w:rsidP="00EF4E64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80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95 520 руб. за указанный период. </w:t>
      </w:r>
    </w:p>
    <w:p w:rsidR="00EF4E64" w:rsidRPr="00EF4E64" w:rsidRDefault="00EF4E64" w:rsidP="00EF4E64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задатка 19 104 руб.</w:t>
      </w:r>
    </w:p>
    <w:p w:rsidR="00EF4E64" w:rsidRPr="00EF4E64" w:rsidRDefault="00EF4E64" w:rsidP="00EF4E64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117-156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составляет 7 043 руб. за указанный период. </w:t>
      </w:r>
    </w:p>
    <w:p w:rsidR="00EF4E64" w:rsidRPr="00EF4E64" w:rsidRDefault="00EF4E64" w:rsidP="00EF4E64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задатка 1 409 руб.</w:t>
      </w:r>
    </w:p>
    <w:p w:rsidR="004043E8" w:rsidRPr="00EF4E64" w:rsidRDefault="004043E8" w:rsidP="004043E8">
      <w:pPr>
        <w:pStyle w:val="a3"/>
        <w:tabs>
          <w:tab w:val="left" w:pos="2400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157-164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составляет 95 520 руб. за указанный период. 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задатка 19 104 руб.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165-168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составляет 51 840 руб. за указанный период.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 Размер задатка 10 368 руб.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 xml:space="preserve">169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57 312 руб. за указанный период. 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задатка 11 463 руб.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lastRenderedPageBreak/>
        <w:t xml:space="preserve">Начальная цена по Лотам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170-171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составляет 2 900 руб. за указанный период. 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задатка 580 руб.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72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Pr="00EF4E64">
        <w:rPr>
          <w:rFonts w:ascii="Times New Roman" w:hAnsi="Times New Roman" w:cs="Times New Roman"/>
          <w:sz w:val="28"/>
          <w:lang w:eastAsia="ru-RU"/>
        </w:rPr>
        <w:t>60 480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Pr="00EF4E64">
        <w:rPr>
          <w:rFonts w:ascii="Times New Roman" w:hAnsi="Times New Roman" w:cs="Times New Roman"/>
          <w:sz w:val="28"/>
          <w:lang w:eastAsia="ru-RU"/>
        </w:rPr>
        <w:t>12096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73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Pr="00EF4E64">
        <w:rPr>
          <w:rFonts w:ascii="Times New Roman" w:hAnsi="Times New Roman" w:cs="Times New Roman"/>
          <w:sz w:val="28"/>
          <w:lang w:eastAsia="ru-RU"/>
        </w:rPr>
        <w:t>136080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Pr="00EF4E64">
        <w:rPr>
          <w:rFonts w:ascii="Times New Roman" w:hAnsi="Times New Roman" w:cs="Times New Roman"/>
          <w:sz w:val="28"/>
          <w:lang w:eastAsia="ru-RU"/>
        </w:rPr>
        <w:t>27216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74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20160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руб. за указанный период. 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Pr="00EF4E64">
        <w:rPr>
          <w:rFonts w:ascii="Times New Roman" w:hAnsi="Times New Roman" w:cs="Times New Roman"/>
          <w:sz w:val="28"/>
          <w:lang w:eastAsia="ru-RU"/>
        </w:rPr>
        <w:t>4032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>1</w:t>
      </w:r>
      <w:r w:rsidRPr="00EF4E64">
        <w:rPr>
          <w:rFonts w:ascii="Times New Roman" w:hAnsi="Times New Roman" w:cs="Times New Roman"/>
          <w:b/>
          <w:sz w:val="28"/>
          <w:lang w:eastAsia="ru-RU"/>
        </w:rPr>
        <w:t xml:space="preserve">75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38400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руб. за указанный период. 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Pr="00EF4E64">
        <w:rPr>
          <w:rFonts w:ascii="Times New Roman" w:hAnsi="Times New Roman" w:cs="Times New Roman"/>
          <w:sz w:val="28"/>
          <w:lang w:eastAsia="ru-RU"/>
        </w:rPr>
        <w:t>7680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043E8" w:rsidRPr="00EF4E64" w:rsidRDefault="004043E8" w:rsidP="004043E8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4043E8" w:rsidRPr="00EF4E64" w:rsidRDefault="004043E8" w:rsidP="004043E8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C84E22" w:rsidRPr="00EF4E64" w:rsidRDefault="00C84E22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C621F6" w:rsidRPr="00EF4E64" w:rsidRDefault="00783960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Шаг аукциона составляет: не более 10 % от начальной цены Лота.</w:t>
      </w:r>
    </w:p>
    <w:p w:rsidR="00C621F6" w:rsidRPr="00EF4E64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аукционе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с момента опубликования по </w:t>
      </w:r>
      <w:r w:rsidR="00BA5B7C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23</w:t>
      </w:r>
      <w:r w:rsidR="00CF04B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.06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C621F6" w:rsidRPr="00EF4E64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Место получения информации об условиях 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: г. Владикавказ, пл. Штыба, 2</w:t>
      </w:r>
      <w:r w:rsidR="003A133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3 этаж, кабинет № 309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17 ч. 00 мин. ежедневно, тел.70-76-05</w:t>
      </w:r>
    </w:p>
    <w:p w:rsidR="00C621F6" w:rsidRPr="00EF4E64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18 ч. 00 мин. ежедневно.</w:t>
      </w:r>
    </w:p>
    <w:p w:rsidR="00B50561" w:rsidRPr="00EF4E64" w:rsidRDefault="00B50561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1953E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крытие и рассмотрение заявок: 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BA5B7C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5</w:t>
      </w:r>
      <w:r w:rsidR="00CF04B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.06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C621F6" w:rsidRPr="00EF4E64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ремя и место проведения аукциона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3A133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9</w:t>
      </w:r>
      <w:r w:rsidR="001034E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="00CF04B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06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="003A133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</w:t>
      </w:r>
      <w:proofErr w:type="spellStart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C621F6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3A133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9</w:t>
      </w:r>
      <w:r w:rsidR="00CF04B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.06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5362A2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C621F6" w:rsidRDefault="00C621F6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 w:rsidR="00B5056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влением АМС г.Владикавказа от 02.09.2020 № 652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Организатор аукциона - Управление экономики, предпринимательства и инвестиционных проектов АМС г.Владикавказа (далее - организатор аукциона).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настоящем Положении.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Участник аукциона - заявитель, подавший заявку на участие в аукционе и допущенный к участию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 xml:space="preserve">.1. 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 xml:space="preserve">.2. Решение о проведении аукциона на право заключения договора на размещение нестационарного торгового объекта принимается организатором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B2898">
        <w:rPr>
          <w:rFonts w:ascii="Times New Roman" w:hAnsi="Times New Roman" w:cs="Times New Roman"/>
          <w:sz w:val="28"/>
          <w:szCs w:val="28"/>
        </w:rPr>
        <w:t>. 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десяти рабочих дней с даты принятия решения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898">
        <w:rPr>
          <w:rFonts w:ascii="Times New Roman" w:hAnsi="Times New Roman" w:cs="Times New Roman"/>
          <w:sz w:val="28"/>
          <w:szCs w:val="28"/>
        </w:rPr>
        <w:t>. Организатор аукциона разрабатывает и утверждает аукционную 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B2898">
        <w:rPr>
          <w:rFonts w:ascii="Times New Roman" w:hAnsi="Times New Roman" w:cs="Times New Roman"/>
          <w:sz w:val="28"/>
          <w:szCs w:val="28"/>
        </w:rPr>
        <w:t xml:space="preserve">. 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равной для всех участников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B2898">
        <w:rPr>
          <w:rFonts w:ascii="Times New Roman" w:hAnsi="Times New Roman" w:cs="Times New Roman"/>
          <w:sz w:val="28"/>
          <w:szCs w:val="28"/>
        </w:rPr>
        <w:t>. 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B2898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) о порядке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) о форме заявки и сроках ее подачи;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</w:t>
      </w:r>
      <w:r>
        <w:rPr>
          <w:rFonts w:ascii="Times New Roman" w:hAnsi="Times New Roman" w:cs="Times New Roman"/>
          <w:sz w:val="28"/>
          <w:szCs w:val="28"/>
        </w:rPr>
        <w:t>дмета аукциона ("шаг аукциона");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 Порядок предоставления заявок на участие в аукционе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.1. Заявителем может быть любое юридическое лицо или индивидуальный предприниматель.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B2898">
        <w:rPr>
          <w:rFonts w:ascii="Times New Roman" w:hAnsi="Times New Roman" w:cs="Times New Roman"/>
          <w:sz w:val="28"/>
          <w:szCs w:val="28"/>
        </w:rPr>
        <w:t xml:space="preserve">.2. 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настоящему Постановлению;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на  учет физического лица 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архитектурное решение (э</w:t>
      </w:r>
      <w:r w:rsidRPr="006C5D94">
        <w:rPr>
          <w:rFonts w:ascii="Times New Roman" w:hAnsi="Times New Roman" w:cs="Times New Roman"/>
          <w:sz w:val="28"/>
          <w:szCs w:val="28"/>
        </w:rPr>
        <w:t>скизный проект, включающий ситуационный план, генеральный план, кладоч</w:t>
      </w:r>
      <w:r>
        <w:rPr>
          <w:rFonts w:ascii="Times New Roman" w:hAnsi="Times New Roman" w:cs="Times New Roman"/>
          <w:sz w:val="28"/>
          <w:szCs w:val="28"/>
        </w:rPr>
        <w:t>ный план (план на отметке нуля),</w:t>
      </w:r>
      <w:r w:rsidRPr="006C5D94">
        <w:rPr>
          <w:rFonts w:ascii="Times New Roman" w:hAnsi="Times New Roman" w:cs="Times New Roman"/>
          <w:sz w:val="28"/>
          <w:szCs w:val="28"/>
        </w:rPr>
        <w:t xml:space="preserve"> фасады НТО в четырех</w:t>
      </w:r>
      <w:r w:rsidRPr="006C5D94">
        <w:t xml:space="preserve"> </w:t>
      </w:r>
      <w:r w:rsidRPr="006C5D94">
        <w:rPr>
          <w:rFonts w:ascii="Times New Roman" w:hAnsi="Times New Roman" w:cs="Times New Roman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</w:t>
      </w:r>
      <w:r>
        <w:rPr>
          <w:rFonts w:ascii="Times New Roman" w:hAnsi="Times New Roman" w:cs="Times New Roman"/>
          <w:sz w:val="28"/>
          <w:szCs w:val="28"/>
        </w:rPr>
        <w:t>л стен, кровли фасадные решения).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C621F6" w:rsidRPr="00FC5F94" w:rsidRDefault="00C621F6" w:rsidP="00C62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C5F94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C5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ентации, установленных пунктом 4.5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предоставления документов, указанных в п.4.2 настоящего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5B">
        <w:rPr>
          <w:rFonts w:ascii="Times New Roman" w:hAnsi="Times New Roman" w:cs="Times New Roman"/>
          <w:sz w:val="28"/>
          <w:szCs w:val="28"/>
        </w:rPr>
        <w:t>-   не соответствие архитектурного решения, представленного Заявителем, типовым архитектурным решениям нестационарных торговых объектов, представленным в настоящем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размещается Управлением на официальном сайте МО г.Владикавказа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2B2898">
        <w:rPr>
          <w:rFonts w:ascii="Times New Roman" w:hAnsi="Times New Roman" w:cs="Times New Roman"/>
          <w:sz w:val="28"/>
          <w:szCs w:val="28"/>
        </w:rPr>
        <w:t>. 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B2898">
        <w:rPr>
          <w:rFonts w:ascii="Times New Roman" w:hAnsi="Times New Roman" w:cs="Times New Roman"/>
          <w:sz w:val="28"/>
          <w:szCs w:val="28"/>
        </w:rPr>
        <w:t>. Для участия в аукционе заявитель вносит задаток на указанный в извещении о проведении аукциона счет организатора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 Порядок проведения аукциона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B2898">
        <w:rPr>
          <w:rFonts w:ascii="Times New Roman" w:hAnsi="Times New Roman" w:cs="Times New Roman"/>
          <w:sz w:val="28"/>
          <w:szCs w:val="28"/>
        </w:rPr>
        <w:t>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.3. Организатор аукциона ведет аудиозапись процедуры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.4. 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.5. 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.6. 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.7. Во время проведения аукциона его участникам запрещается покидать зал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.8. 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>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.9. 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.10. Результаты аукциона оформляются протоколом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.11. Цена лота, предложенная победителем аукциона, заносится в протокол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</w:t>
      </w:r>
      <w:r w:rsidRPr="00C2782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 случае уклонения победителя ау</w:t>
      </w:r>
      <w:r>
        <w:rPr>
          <w:rFonts w:ascii="Times New Roman" w:hAnsi="Times New Roman" w:cs="Times New Roman"/>
          <w:sz w:val="28"/>
          <w:szCs w:val="28"/>
        </w:rPr>
        <w:t xml:space="preserve">кциона от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победителем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.13. </w:t>
      </w: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 w:rsidRPr="00F34D0E"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 по причине подачи </w:t>
      </w:r>
      <w:r w:rsidRPr="00F34D0E">
        <w:rPr>
          <w:rFonts w:ascii="Times New Roman" w:hAnsi="Times New Roman" w:cs="Times New Roman"/>
          <w:sz w:val="28"/>
          <w:szCs w:val="28"/>
        </w:rPr>
        <w:lastRenderedPageBreak/>
        <w:t>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898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Договор на право размещения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2B2898">
        <w:rPr>
          <w:rFonts w:ascii="Times New Roman" w:hAnsi="Times New Roman" w:cs="Times New Roman"/>
          <w:sz w:val="28"/>
          <w:szCs w:val="28"/>
        </w:rPr>
        <w:t xml:space="preserve">готовится организатором аукциона </w:t>
      </w:r>
      <w:r>
        <w:rPr>
          <w:rFonts w:ascii="Times New Roman" w:hAnsi="Times New Roman" w:cs="Times New Roman"/>
          <w:sz w:val="28"/>
          <w:szCs w:val="28"/>
        </w:rPr>
        <w:t>в течение 20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.1. Проведения ликвидации юридического лица или принятия арбитражным судом решения о введении процедур банкротства.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 xml:space="preserve">.2. Приостановления деятельности такого лица в порядке, предусмотренном </w:t>
      </w:r>
      <w:hyperlink r:id="rId5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.3. Прекращения деятельности в качестве индивидуального предпринимателя, юридического лица.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7274">
        <w:rPr>
          <w:rFonts w:ascii="Times New Roman" w:hAnsi="Times New Roman" w:cs="Times New Roman"/>
          <w:sz w:val="28"/>
          <w:szCs w:val="28"/>
        </w:rPr>
        <w:t xml:space="preserve">. 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6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чрезвычайных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ситуаций, при необходимости использования земельного участка для нужд администрации г.Владикавказа.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7.Аукционная комиссия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7.1. 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самоуправления г.Владикавказа.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7.2. 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7.3. Комиссия собирается по мере необходимости.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lastRenderedPageBreak/>
        <w:t>Проверять документы, представленные участниками аукциона, на предмет их соответствия документации.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C621F6" w:rsidRPr="00026DB1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87B" w:rsidRPr="00B50561" w:rsidRDefault="0003187B" w:rsidP="0003187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Получатель: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УФК  по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РСО-Алания (Администрация местного самоуправления г.Владикавказа) л\счет 05103005030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ИНН  1501002346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КПП  151501001 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Номер казначейского счета 03232643907010001000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Единый казначейский счет: 40102810945370000077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Отделение - НБ РЕСП. Северная Осетия-Алания Банка России //УФК по РСО-Алания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БИК 019033100</w:t>
      </w:r>
    </w:p>
    <w:p w:rsidR="0003187B" w:rsidRDefault="0003187B" w:rsidP="00031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ОКТМО (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90701000)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B50561" w:rsidP="00B5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1F6">
        <w:rPr>
          <w:rFonts w:ascii="Times New Roman" w:hAnsi="Times New Roman" w:cs="Times New Roman"/>
          <w:sz w:val="28"/>
          <w:szCs w:val="28"/>
        </w:rPr>
        <w:t>Минимальный размер оплаты</w:t>
      </w:r>
      <w:r w:rsidR="00C621F6"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C621F6" w:rsidRPr="00DE2809" w:rsidRDefault="00C621F6" w:rsidP="00C621F6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C621F6" w:rsidRPr="00DE2809" w:rsidTr="00B50561">
        <w:tc>
          <w:tcPr>
            <w:tcW w:w="2381" w:type="dxa"/>
            <w:vMerge w:val="restart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C621F6" w:rsidRPr="00DE2809" w:rsidTr="00B50561">
        <w:tc>
          <w:tcPr>
            <w:tcW w:w="2381" w:type="dxa"/>
            <w:vMerge/>
          </w:tcPr>
          <w:p w:rsidR="00C621F6" w:rsidRPr="00DE2809" w:rsidRDefault="00C621F6" w:rsidP="00C6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Заводс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Нижний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Ларс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Верхний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Ларс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Эзми</w:t>
            </w:r>
            <w:proofErr w:type="spellEnd"/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печатной продукции средств массовой информации, книжной продукции, связанной с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наукой и культурой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развлекательных услуг, зоопарки, цирки, аттракционы (передвижные и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стационарные объекты)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CA3E4D"/>
    <w:p w:rsidR="00C621F6" w:rsidRDefault="00C621F6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1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823273" w:rsidRDefault="00C621F6" w:rsidP="00C621F6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lastRenderedPageBreak/>
        <w:t>В аукционную комиссию по предоставлению права на размещение НТО на территории города Владикавказа</w:t>
      </w:r>
    </w:p>
    <w:p w:rsidR="00C621F6" w:rsidRPr="00131CA1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C621F6" w:rsidRPr="00E6462B" w:rsidRDefault="00D85EA3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C621F6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C621F6" w:rsidRPr="00C20D89" w:rsidRDefault="00C621F6" w:rsidP="00C62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>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BFA" w:rsidRDefault="00505BFA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5.1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C621F6" w:rsidRPr="000B49E3" w:rsidTr="00C621F6">
        <w:tc>
          <w:tcPr>
            <w:tcW w:w="4814" w:type="dxa"/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C621F6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D85EA3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D85EA3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D85EA3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D85EA3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D85EA3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день просрочки.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нахождения (почтовый адрес): 362040, Россия, РСО-Алания, 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г. Владикавказ, пл. Штыба, 2.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5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C621F6" w:rsidRPr="000B49E3" w:rsidRDefault="00D85EA3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C621F6" w:rsidRPr="000B49E3" w:rsidRDefault="00D85EA3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C621F6" w:rsidRPr="000B49E3" w:rsidRDefault="00D85EA3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Начальник Управления экономики, предпринимательства и инвестиционных проектов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Default="00C621F6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1933E2" w:rsidRPr="000B49E3" w:rsidRDefault="000C5A55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933E2"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риложение № 5.2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(торгово-остановочный комплекс) на территории муниципального образования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1933E2" w:rsidRPr="000B49E3" w:rsidTr="00B82AF8">
        <w:tc>
          <w:tcPr>
            <w:tcW w:w="4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201__ года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работе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3 (трех) месяцев с даты заключения договора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2.4.2. Приступить к эксплуатации НТО после заключения договоров: на уборку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территории, вывоз твердых бытовых и жидких отходов, потребление энергоресурсов.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D85EA3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D85EA3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D85EA3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D85EA3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D85EA3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1933E2" w:rsidRPr="00E31FDD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ч. 1 ст. 395 ГК РФ, в случае несвоевременной оплаты по договору Участник уплачивает Администрации пеню в размере 1/365 ключевой ставки Банка России, действовавшей в соответствующие периоды, от всей суммы долга за каждый день просрочки.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2.4.7.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не позднее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истечения Договора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одать заявление о его продлении,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4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не позднее 30 дней после истечения срока договора. 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2.4.8. Организовать на установленном НТО автономную точку доступа к сети интернет по технологии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fi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безвозмездно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ее бесперебойную работу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населения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2.4.9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Освободить занимаемую территорию от конструкций НТО и привести ее в первоначальное состояние в течение 3 (трех) дней: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2.4.1, 2.4.2, 2.4.3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2.4.7, 2.4.8, 2.4.9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>
        <w:t xml:space="preserve">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2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 схемы расположения (размещения) НТО (графический пл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3896"/>
      </w:tblGrid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26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1933E2" w:rsidRPr="000B49E3" w:rsidRDefault="00D85EA3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1933E2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1933E2" w:rsidRPr="000B49E3" w:rsidRDefault="00D85EA3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1933E2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1933E2" w:rsidRPr="000B49E3" w:rsidRDefault="00D85EA3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1933E2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2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621F6" w:rsidRDefault="00C621F6"/>
    <w:sectPr w:rsidR="00C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2369F"/>
    <w:rsid w:val="00024460"/>
    <w:rsid w:val="0003187B"/>
    <w:rsid w:val="000766F1"/>
    <w:rsid w:val="00076B91"/>
    <w:rsid w:val="000A010B"/>
    <w:rsid w:val="000C5A55"/>
    <w:rsid w:val="000E7B48"/>
    <w:rsid w:val="000F1C6D"/>
    <w:rsid w:val="001034ED"/>
    <w:rsid w:val="00106D61"/>
    <w:rsid w:val="00110050"/>
    <w:rsid w:val="00112274"/>
    <w:rsid w:val="00123008"/>
    <w:rsid w:val="00125A62"/>
    <w:rsid w:val="00172200"/>
    <w:rsid w:val="001933E2"/>
    <w:rsid w:val="001953ED"/>
    <w:rsid w:val="001F6293"/>
    <w:rsid w:val="00202C69"/>
    <w:rsid w:val="0026510E"/>
    <w:rsid w:val="00267A0B"/>
    <w:rsid w:val="00285D9F"/>
    <w:rsid w:val="002C0A68"/>
    <w:rsid w:val="002F30C4"/>
    <w:rsid w:val="003104A2"/>
    <w:rsid w:val="0034113E"/>
    <w:rsid w:val="003A133D"/>
    <w:rsid w:val="003F3F82"/>
    <w:rsid w:val="003F42CC"/>
    <w:rsid w:val="004043E8"/>
    <w:rsid w:val="00443A2D"/>
    <w:rsid w:val="004B5CD9"/>
    <w:rsid w:val="004E0396"/>
    <w:rsid w:val="00505BFA"/>
    <w:rsid w:val="00512333"/>
    <w:rsid w:val="00557AF8"/>
    <w:rsid w:val="005750C6"/>
    <w:rsid w:val="005818D9"/>
    <w:rsid w:val="005A6E0F"/>
    <w:rsid w:val="005B7D65"/>
    <w:rsid w:val="005D2DE3"/>
    <w:rsid w:val="007467D7"/>
    <w:rsid w:val="007632BB"/>
    <w:rsid w:val="00783960"/>
    <w:rsid w:val="007C4710"/>
    <w:rsid w:val="007D3975"/>
    <w:rsid w:val="007F04DC"/>
    <w:rsid w:val="009752A7"/>
    <w:rsid w:val="009E6728"/>
    <w:rsid w:val="00A801B3"/>
    <w:rsid w:val="00A96A8B"/>
    <w:rsid w:val="00AF5B21"/>
    <w:rsid w:val="00B20F88"/>
    <w:rsid w:val="00B4140E"/>
    <w:rsid w:val="00B50561"/>
    <w:rsid w:val="00B67341"/>
    <w:rsid w:val="00B82AF8"/>
    <w:rsid w:val="00B83104"/>
    <w:rsid w:val="00BA5B7C"/>
    <w:rsid w:val="00BB290A"/>
    <w:rsid w:val="00C508B2"/>
    <w:rsid w:val="00C621F6"/>
    <w:rsid w:val="00C74C47"/>
    <w:rsid w:val="00C84E22"/>
    <w:rsid w:val="00C95957"/>
    <w:rsid w:val="00CA3E4D"/>
    <w:rsid w:val="00CF04BD"/>
    <w:rsid w:val="00D04801"/>
    <w:rsid w:val="00D4330C"/>
    <w:rsid w:val="00D76D9D"/>
    <w:rsid w:val="00D85EA3"/>
    <w:rsid w:val="00DB585B"/>
    <w:rsid w:val="00DE1C66"/>
    <w:rsid w:val="00DE4C1F"/>
    <w:rsid w:val="00E41B77"/>
    <w:rsid w:val="00E60602"/>
    <w:rsid w:val="00E94C11"/>
    <w:rsid w:val="00EF499D"/>
    <w:rsid w:val="00EF4E64"/>
    <w:rsid w:val="00F8375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4D16-2087-4C91-B06B-DA3E008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4853.1000" TargetMode="External"/><Relationship Id="rId7" Type="http://schemas.openxmlformats.org/officeDocument/2006/relationships/hyperlink" Target="garantF1://12034853.1000" TargetMode="External"/><Relationship Id="rId12" Type="http://schemas.openxmlformats.org/officeDocument/2006/relationships/hyperlink" Target="garantF1://70365940.0" TargetMode="External"/><Relationship Id="rId17" Type="http://schemas.openxmlformats.org/officeDocument/2006/relationships/hyperlink" Target="garantF1://70365940.0" TargetMode="External"/><Relationship Id="rId25" Type="http://schemas.openxmlformats.org/officeDocument/2006/relationships/hyperlink" Target="garantF1://10064072.3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4853.1000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AF642BB2C4DB9008A40AD939A9C6759234B792F051FEB0CADD0AD5E079263BE18C85511B4CB34AA72F1i10EG" TargetMode="External"/><Relationship Id="rId11" Type="http://schemas.openxmlformats.org/officeDocument/2006/relationships/hyperlink" Target="garantF1://12074212.1000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hyperlink" Target="consultantplus://offline/ref=461AF642BB2C4DB9008A5EA085F6C3625D28117C2A011CBB54F28BF009i00EG" TargetMode="External"/><Relationship Id="rId15" Type="http://schemas.openxmlformats.org/officeDocument/2006/relationships/hyperlink" Target="garantF1://455333.0" TargetMode="External"/><Relationship Id="rId23" Type="http://schemas.openxmlformats.org/officeDocument/2006/relationships/hyperlink" Target="garantF1://70365940.0" TargetMode="External"/><Relationship Id="rId28" Type="http://schemas.openxmlformats.org/officeDocument/2006/relationships/hyperlink" Target="garantF1://70365940.0" TargetMode="External"/><Relationship Id="rId10" Type="http://schemas.openxmlformats.org/officeDocument/2006/relationships/hyperlink" Target="garantF1://12034853.1000" TargetMode="External"/><Relationship Id="rId19" Type="http://schemas.openxmlformats.org/officeDocument/2006/relationships/hyperlink" Target="garantF1://10006035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55333.0" TargetMode="External"/><Relationship Id="rId14" Type="http://schemas.openxmlformats.org/officeDocument/2006/relationships/hyperlink" Target="garantF1://10064072.3200" TargetMode="External"/><Relationship Id="rId22" Type="http://schemas.openxmlformats.org/officeDocument/2006/relationships/hyperlink" Target="garantF1://12074212.1000" TargetMode="External"/><Relationship Id="rId27" Type="http://schemas.openxmlformats.org/officeDocument/2006/relationships/hyperlink" Target="garantF1://12034853.1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34</Pages>
  <Words>9857</Words>
  <Characters>56189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Лавер Битаров</cp:lastModifiedBy>
  <cp:revision>8</cp:revision>
  <cp:lastPrinted>2021-05-21T09:26:00Z</cp:lastPrinted>
  <dcterms:created xsi:type="dcterms:W3CDTF">2020-10-01T08:07:00Z</dcterms:created>
  <dcterms:modified xsi:type="dcterms:W3CDTF">2021-05-23T17:49:00Z</dcterms:modified>
</cp:coreProperties>
</file>