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18" w:rsidRPr="00DC5F57" w:rsidRDefault="00A71D18" w:rsidP="00A71D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</w:t>
      </w:r>
      <w:r w:rsidR="00863173"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ПУБЛИЧНЫХ </w:t>
      </w:r>
      <w:r w:rsidR="000B6101" w:rsidRPr="00DC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ОБСУЖДЕНИЙ</w:t>
      </w:r>
    </w:p>
    <w:p w:rsidR="0028542F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</w:t>
      </w:r>
      <w:r w:rsidR="009B0540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уведомлением 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Управление 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предпринимательства и инвестиционной деятельности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АМС г. Владикавказа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начале обсуждения предлагаемого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вового регулирования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и сборе предложений заинтересованных лиц.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принимаются в у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становленном порядке по адресу: 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Республика Северная Осетия - Алания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г. Владикавказ, ул.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Штыба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2, этаж 3, кабинет 309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 также по адресу электронной почты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  <w:hyperlink r:id="rId8" w:history="1"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uaig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alania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50BED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DC5F57" w:rsidRDefault="001C1ACB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 2</w:t>
      </w:r>
      <w:r w:rsidR="003A1B8A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A1B8A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Место размещения уведомления о проведени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публичных </w:t>
      </w:r>
      <w:r w:rsidR="000B6101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официальный сайт муниципального образования г.Владикавказ – </w:t>
      </w:r>
      <w:hyperlink r:id="rId9" w:history="1"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osetia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28542F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Все поступившие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 w:rsidR="007A22A5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будут 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рассмотрены.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Сводка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будет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размещена на 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г.Владикавказ – </w:t>
      </w:r>
      <w:hyperlink r:id="rId10" w:history="1"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vladikavkaz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osetia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A7268" w:rsidRPr="00DC5F5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80B6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B8A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F03F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C1ACB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F12A3" w:rsidRPr="00DC5F57" w:rsidRDefault="003B5D91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 Описание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проблемы, на решение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которой направлено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предлагаемое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7C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регулирование: </w:t>
      </w:r>
      <w:r w:rsidR="004B17C3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необходимость </w:t>
      </w:r>
      <w:r w:rsidR="00EE412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актуализации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EE4120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схемы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951D9" w:rsidRPr="00DC5F57">
        <w:rPr>
          <w:rFonts w:ascii="Times New Roman" w:hAnsi="Times New Roman" w:cs="Times New Roman"/>
          <w:sz w:val="28"/>
          <w:szCs w:val="28"/>
          <w:u w:val="single"/>
        </w:rPr>
        <w:t>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г. Владикавказ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утвержденную постановлением АМС г.Владикавказа</w:t>
      </w:r>
      <w:r w:rsidR="00D951D9" w:rsidRPr="00DC5F57">
        <w:rPr>
          <w:rFonts w:ascii="Times New Roman" w:hAnsi="Times New Roman" w:cs="Times New Roman"/>
          <w:sz w:val="28"/>
          <w:szCs w:val="28"/>
          <w:u w:val="single"/>
        </w:rPr>
        <w:t xml:space="preserve"> от 31.07.2018 № 782 «Об утверждении Схемы 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г. Владикавказ»</w:t>
      </w:r>
      <w:r w:rsidR="009629E6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9629E6" w:rsidRPr="00DC5F57" w:rsidRDefault="009629E6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268" w:rsidRPr="00DC5F57" w:rsidRDefault="00863173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Цели предлагаемого 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регулирования:</w:t>
      </w:r>
      <w:r w:rsidR="006A726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повышение доходной части бюджета муниципального образования г.Владикавказ, </w:t>
      </w:r>
      <w:r w:rsidR="00A74C5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поддержка субъектов МСП, осуществляющих предпринимательскую деятельность на территории муниципального образования город Владикавказ.</w:t>
      </w:r>
    </w:p>
    <w:p w:rsidR="009629E6" w:rsidRPr="00DC5F57" w:rsidRDefault="009629E6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2A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Действующие нормативные правовые акты, поручения, другие решения, 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которых вытекает необходимость разработки (а</w:t>
      </w:r>
      <w:r w:rsidR="00AF12A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нализа) правового регулирования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 данной области: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Земельный кодекс Российской Федерации от 25.10.2001 № 136-ФЗ, Федеральн</w:t>
      </w:r>
      <w:r w:rsidR="00A74C5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ый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закон от 20.03.2025 № 33-ФЗ «Об общих принципах организации местного самоуправления в единой системе публичной власти Ро</w:t>
      </w:r>
      <w:r w:rsidR="00A74C5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ссийской Федерации», Федеральный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закон от 28.12.2009 № 381-ФЗ «Об основах государственного регулирования торговой </w:t>
      </w:r>
      <w:r w:rsidR="00D951D9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деятельности в Российской Федерации», закон Республики Северная Осетия – Алания от 08.07.2010 № 39-РЗ «О государственном регулировании торговой деятельности на территории Республики Северная Осетия-Алания», постановление Правительства Республики Северная Осетия–Алания от 27.12.2010 № 370 «Об утверждении порядка разработки и утверждения органами местного самоуправления Республики Северная Осетия–Алания схемы размещения нестационарных торговых объектов», Протокол 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на территории муниципального образования г.Владикавказ от 11.12.2025 № 02/к-2025</w:t>
      </w:r>
      <w:r w:rsidR="00A74C5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863173" w:rsidRPr="00DC5F57" w:rsidRDefault="00AF12A3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63F3" w:rsidRPr="00DC5F57" w:rsidRDefault="00A71D18" w:rsidP="00550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4. Планируемый срок вступления в силу предлагаемого регулирования: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квартал 202</w:t>
      </w:r>
      <w:r w:rsidR="00A74C5F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28542F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 вступления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 силу действующего регулирования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50BED" w:rsidRPr="00DC5F57">
        <w:rPr>
          <w:rFonts w:ascii="Times New Roman" w:hAnsi="Times New Roman" w:cs="Times New Roman"/>
          <w:sz w:val="28"/>
          <w:szCs w:val="28"/>
        </w:rPr>
        <w:t xml:space="preserve"> </w:t>
      </w:r>
      <w:r w:rsidR="00550BED" w:rsidRPr="00DC5F57">
        <w:rPr>
          <w:rFonts w:ascii="Times New Roman" w:hAnsi="Times New Roman" w:cs="Times New Roman"/>
          <w:sz w:val="28"/>
          <w:szCs w:val="28"/>
          <w:u w:val="single"/>
        </w:rPr>
        <w:t xml:space="preserve">со дня официального опубликования принятого </w:t>
      </w:r>
      <w:r w:rsidR="007F03F0" w:rsidRPr="00DC5F57">
        <w:rPr>
          <w:rFonts w:ascii="Times New Roman" w:hAnsi="Times New Roman" w:cs="Times New Roman"/>
          <w:sz w:val="28"/>
          <w:szCs w:val="28"/>
          <w:u w:val="single"/>
        </w:rPr>
        <w:t>постановления АМС г.Владикавказ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0BED" w:rsidRPr="00DC5F57" w:rsidRDefault="00550BED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3F0" w:rsidRPr="00DC5F57" w:rsidRDefault="007F03F0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D18" w:rsidRPr="00DC5F57" w:rsidRDefault="0028542F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5.  Сведения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необходимости или отсутствии необходимости установления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173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переходного периода</w:t>
      </w:r>
      <w:r w:rsidR="00A71D18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BED" w:rsidRPr="00DC5F57">
        <w:rPr>
          <w:rFonts w:ascii="Times New Roman" w:hAnsi="Times New Roman" w:cs="Times New Roman"/>
          <w:sz w:val="28"/>
          <w:szCs w:val="28"/>
          <w:u w:val="single"/>
        </w:rPr>
        <w:t>отсутствует необходимость в переходном периоде</w:t>
      </w:r>
      <w:r w:rsidR="00550BED" w:rsidRPr="00DC5F57">
        <w:rPr>
          <w:rFonts w:ascii="Times New Roman" w:hAnsi="Times New Roman" w:cs="Times New Roman"/>
          <w:sz w:val="28"/>
          <w:szCs w:val="28"/>
        </w:rPr>
        <w:t>.</w:t>
      </w:r>
    </w:p>
    <w:p w:rsidR="002263F3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A71D18" w:rsidRPr="00DC5F57" w:rsidRDefault="00A71D18" w:rsidP="00A71D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6. Обоснование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выбора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предпочтительного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варианта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 выявленной</w:t>
      </w:r>
      <w:r w:rsidR="00550BED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проблемы:</w:t>
      </w:r>
      <w:r w:rsidR="007A21EC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1EC" w:rsidRPr="00DC5F57">
        <w:rPr>
          <w:rFonts w:ascii="Times New Roman" w:hAnsi="Times New Roman" w:cs="Times New Roman"/>
          <w:sz w:val="28"/>
          <w:szCs w:val="28"/>
          <w:u w:val="single"/>
        </w:rPr>
        <w:t>выбор варианта правового регулирования, предусмотренного проектом, обусловлен необходимостью достижения целей предлагаемого правового регулирования</w:t>
      </w:r>
      <w:r w:rsidR="007A21EC" w:rsidRPr="00DC5F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2E6C" w:rsidRPr="00DC5F57" w:rsidRDefault="00342E6C" w:rsidP="00A71D1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t>Содержание варианта решения выявленной проблемы</w:t>
            </w:r>
          </w:p>
        </w:tc>
        <w:tc>
          <w:tcPr>
            <w:tcW w:w="4678" w:type="dxa"/>
          </w:tcPr>
          <w:p w:rsidR="007A21EC" w:rsidRPr="00DC5F57" w:rsidRDefault="00A74C5F" w:rsidP="000739FC">
            <w:pPr>
              <w:pStyle w:val="ConsPlusNormal"/>
              <w:jc w:val="center"/>
            </w:pPr>
            <w:r w:rsidRPr="00DC5F57">
              <w:t>Предлагаемый вариант</w:t>
            </w:r>
          </w:p>
        </w:tc>
      </w:tr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t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</w:p>
        </w:tc>
        <w:tc>
          <w:tcPr>
            <w:tcW w:w="4678" w:type="dxa"/>
          </w:tcPr>
          <w:p w:rsidR="007A21EC" w:rsidRPr="00DC5F57" w:rsidRDefault="007A21EC" w:rsidP="007A21EC">
            <w:pPr>
              <w:pStyle w:val="ConsPlusNormal"/>
              <w:jc w:val="center"/>
            </w:pPr>
            <w:r w:rsidRPr="00DC5F57">
              <w:t>Проектом нормативного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</w:t>
            </w:r>
          </w:p>
        </w:tc>
      </w:tr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t>Оценка дополнительных расходов (доходов) потенциальных адресатов регулирования, связанных с введением нового правового регулирования</w:t>
            </w:r>
          </w:p>
        </w:tc>
        <w:tc>
          <w:tcPr>
            <w:tcW w:w="4678" w:type="dxa"/>
          </w:tcPr>
          <w:p w:rsidR="007A21EC" w:rsidRPr="00DC5F57" w:rsidRDefault="007A21EC" w:rsidP="007A21EC">
            <w:pPr>
              <w:pStyle w:val="ConsPlusNormal"/>
              <w:jc w:val="center"/>
            </w:pPr>
            <w:r w:rsidRPr="00DC5F57">
              <w:t xml:space="preserve">Принятие проекта нормативного акта </w:t>
            </w:r>
            <w:r w:rsidR="009629E6" w:rsidRPr="00DC5F57">
              <w:t xml:space="preserve">не </w:t>
            </w:r>
            <w:r w:rsidRPr="00DC5F57">
              <w:t xml:space="preserve">повлечет дополнительные расходы субъектов МСП, осуществляющих </w:t>
            </w:r>
            <w:r w:rsidR="009629E6" w:rsidRPr="00DC5F57">
              <w:t xml:space="preserve">предпринимательскую </w:t>
            </w:r>
            <w:r w:rsidRPr="00DC5F57">
              <w:t xml:space="preserve">деятельность </w:t>
            </w:r>
            <w:r w:rsidR="000739FC" w:rsidRPr="00DC5F57">
              <w:t>на территории муниципального образования город Владикавказ</w:t>
            </w:r>
          </w:p>
          <w:p w:rsidR="007A21EC" w:rsidRPr="00DC5F57" w:rsidRDefault="007A21EC" w:rsidP="007A21EC">
            <w:pPr>
              <w:pStyle w:val="ConsPlusNormal"/>
            </w:pPr>
          </w:p>
        </w:tc>
      </w:tr>
      <w:tr w:rsidR="007A21EC" w:rsidRPr="00DC5F57" w:rsidTr="00A74C5F">
        <w:tc>
          <w:tcPr>
            <w:tcW w:w="4815" w:type="dxa"/>
          </w:tcPr>
          <w:p w:rsidR="007A21EC" w:rsidRPr="00DC5F57" w:rsidRDefault="007A21EC" w:rsidP="0028542F">
            <w:pPr>
              <w:pStyle w:val="ConsPlusNormal"/>
            </w:pPr>
            <w:r w:rsidRPr="00DC5F57">
              <w:lastRenderedPageBreak/>
              <w:t>Оценка расходов (доходов) муниципального бюджета, связанных с введением нового правового регулирования</w:t>
            </w:r>
          </w:p>
        </w:tc>
        <w:tc>
          <w:tcPr>
            <w:tcW w:w="4678" w:type="dxa"/>
          </w:tcPr>
          <w:p w:rsidR="007A21EC" w:rsidRPr="00DC5F57" w:rsidRDefault="007A21EC" w:rsidP="009629E6">
            <w:pPr>
              <w:pStyle w:val="ConsPlusNormal"/>
              <w:jc w:val="center"/>
            </w:pPr>
            <w:r w:rsidRPr="00DC5F57">
              <w:t>Принятие проекта нормативного акта не потребует выделения дополнительных средств</w:t>
            </w:r>
            <w:r w:rsidR="000739FC" w:rsidRPr="00DC5F57">
              <w:t xml:space="preserve"> </w:t>
            </w:r>
            <w:r w:rsidRPr="00DC5F57">
              <w:t>из бюджета муниципального образования город Владикавказ, напротив принятие проекта</w:t>
            </w:r>
            <w:r w:rsidR="000739FC" w:rsidRPr="00DC5F57">
              <w:t xml:space="preserve"> повлечет увеличение бюджетных поступлений муниципального образования город Владикавказ по доходам </w:t>
            </w:r>
            <w:r w:rsidR="009629E6" w:rsidRPr="00DC5F57">
              <w:t>размещения нестационарных торговых объектов</w:t>
            </w:r>
            <w:r w:rsidRPr="00DC5F57">
              <w:t xml:space="preserve">  </w:t>
            </w:r>
          </w:p>
        </w:tc>
      </w:tr>
      <w:tr w:rsidR="007A21EC" w:rsidRPr="00DC5F57" w:rsidTr="00A74C5F">
        <w:trPr>
          <w:trHeight w:val="798"/>
        </w:trPr>
        <w:tc>
          <w:tcPr>
            <w:tcW w:w="4815" w:type="dxa"/>
            <w:tcBorders>
              <w:bottom w:val="single" w:sz="4" w:space="0" w:color="auto"/>
            </w:tcBorders>
          </w:tcPr>
          <w:p w:rsidR="007A21EC" w:rsidRPr="00DC5F57" w:rsidRDefault="007A21EC" w:rsidP="0028542F">
            <w:pPr>
              <w:pStyle w:val="ConsPlusNormal"/>
            </w:pPr>
            <w:r w:rsidRPr="00DC5F57">
              <w:t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A21EC" w:rsidRPr="00DC5F57" w:rsidRDefault="000739FC" w:rsidP="000739FC">
            <w:pPr>
              <w:pStyle w:val="ConsPlusNormal"/>
              <w:jc w:val="center"/>
            </w:pPr>
            <w:r w:rsidRPr="00DC5F57">
              <w:t>Цели регулирования будут достигнуты посредством принятия рассматриваемого нормативного акта</w:t>
            </w:r>
          </w:p>
        </w:tc>
      </w:tr>
      <w:tr w:rsidR="007A21EC" w:rsidRPr="00DC5F57" w:rsidTr="00A74C5F">
        <w:tc>
          <w:tcPr>
            <w:tcW w:w="4815" w:type="dxa"/>
            <w:tcBorders>
              <w:bottom w:val="single" w:sz="4" w:space="0" w:color="auto"/>
            </w:tcBorders>
          </w:tcPr>
          <w:p w:rsidR="007A21EC" w:rsidRPr="00DC5F57" w:rsidRDefault="007A21EC" w:rsidP="0028542F">
            <w:pPr>
              <w:pStyle w:val="ConsPlusNormal"/>
            </w:pPr>
            <w:r w:rsidRPr="00DC5F57">
              <w:t>Оценка рисков неблагоприятных последствий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A21EC" w:rsidRPr="00DC5F57" w:rsidRDefault="000739FC" w:rsidP="000739FC">
            <w:pPr>
              <w:pStyle w:val="ConsPlusNormal"/>
              <w:jc w:val="center"/>
            </w:pPr>
            <w:r w:rsidRPr="00DC5F57">
              <w:t>Рисков неблагоприятных последствий не выявлено</w:t>
            </w:r>
          </w:p>
        </w:tc>
      </w:tr>
      <w:tr w:rsidR="00342E6C" w:rsidRPr="00863173" w:rsidTr="00A74C5F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2E6C" w:rsidRPr="00DC5F57" w:rsidRDefault="00342E6C" w:rsidP="0028542F">
            <w:pPr>
              <w:pStyle w:val="ConsPlusNormal"/>
            </w:pPr>
          </w:p>
          <w:p w:rsidR="00342E6C" w:rsidRPr="00DC5F57" w:rsidRDefault="00342E6C" w:rsidP="00342E6C">
            <w:pPr>
              <w:pStyle w:val="ConsPlusNormal"/>
              <w:jc w:val="both"/>
            </w:pPr>
            <w:r w:rsidRPr="00DC5F57">
              <w:t>К уведомлению прилагаются:</w:t>
            </w:r>
          </w:p>
          <w:p w:rsidR="00342E6C" w:rsidRPr="00DC5F57" w:rsidRDefault="00342E6C" w:rsidP="00342E6C">
            <w:pPr>
              <w:pStyle w:val="ConsPlusNormal"/>
              <w:jc w:val="both"/>
            </w:pPr>
          </w:p>
          <w:p w:rsidR="00A74C5F" w:rsidRPr="00DC5F57" w:rsidRDefault="00342E6C" w:rsidP="00A74C5F">
            <w:pPr>
              <w:pStyle w:val="ConsPlusNormal"/>
              <w:ind w:firstLine="647"/>
              <w:jc w:val="both"/>
            </w:pPr>
            <w:r w:rsidRPr="00DC5F57">
              <w:t xml:space="preserve">1. Проект </w:t>
            </w:r>
            <w:r w:rsidR="007F03F0" w:rsidRPr="00DC5F57">
              <w:t>постановления «</w:t>
            </w:r>
            <w:r w:rsidR="00A74C5F" w:rsidRPr="00DC5F57">
              <w:t>О внесении изменений в постановление администрации местного самоуправления г.Владикавказа от 31.07.2018 № 782</w:t>
            </w:r>
          </w:p>
          <w:p w:rsidR="00342E6C" w:rsidRPr="00DC5F57" w:rsidRDefault="00A74C5F" w:rsidP="006B1553">
            <w:pPr>
              <w:pStyle w:val="ConsPlusNormal"/>
              <w:jc w:val="both"/>
            </w:pPr>
            <w:r w:rsidRPr="00DC5F57">
              <w:t>«Об утверждении Схемы размещения нестационарных объектов, расположенных на земельных участках, в некапитальных строениях, сооружениях, осуществляющих предпринимательскую деятельность на территории муниципального образования г.Владикавказ»</w:t>
            </w:r>
            <w:r w:rsidR="00342E6C" w:rsidRPr="00DC5F57">
              <w:t>.</w:t>
            </w:r>
          </w:p>
          <w:p w:rsidR="00342E6C" w:rsidRPr="00DC5F57" w:rsidRDefault="00342E6C" w:rsidP="00342E6C">
            <w:pPr>
              <w:pStyle w:val="ConsPlusNormal"/>
              <w:ind w:firstLine="647"/>
              <w:jc w:val="both"/>
            </w:pPr>
          </w:p>
          <w:p w:rsidR="00342E6C" w:rsidRPr="00863173" w:rsidRDefault="00342E6C" w:rsidP="00D30774">
            <w:pPr>
              <w:pStyle w:val="ConsPlusNormal"/>
              <w:ind w:firstLine="647"/>
              <w:jc w:val="both"/>
            </w:pPr>
            <w:r w:rsidRPr="00DC5F57">
              <w:t>2. Перечень вопросов для участников публичных</w:t>
            </w:r>
            <w:r w:rsidR="00D30774" w:rsidRPr="00DC5F57">
              <w:t xml:space="preserve"> о</w:t>
            </w:r>
            <w:r w:rsidRPr="00DC5F57">
              <w:t>бсуждений.</w:t>
            </w:r>
          </w:p>
        </w:tc>
      </w:tr>
    </w:tbl>
    <w:p w:rsidR="008E5BAA" w:rsidRDefault="008E5BAA" w:rsidP="007F03F0">
      <w:pPr>
        <w:pStyle w:val="ConsPlusNormal"/>
        <w:jc w:val="both"/>
      </w:pPr>
    </w:p>
    <w:sectPr w:rsidR="008E5BAA" w:rsidSect="007A22A5">
      <w:pgSz w:w="11909" w:h="16834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97" w:rsidRDefault="007B3D97" w:rsidP="00D55FCC">
      <w:pPr>
        <w:spacing w:after="0" w:line="240" w:lineRule="auto"/>
      </w:pPr>
      <w:r>
        <w:separator/>
      </w:r>
    </w:p>
  </w:endnote>
  <w:endnote w:type="continuationSeparator" w:id="0">
    <w:p w:rsidR="007B3D97" w:rsidRDefault="007B3D97" w:rsidP="00D5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97" w:rsidRDefault="007B3D97" w:rsidP="00D55FCC">
      <w:pPr>
        <w:spacing w:after="0" w:line="240" w:lineRule="auto"/>
      </w:pPr>
      <w:r>
        <w:separator/>
      </w:r>
    </w:p>
  </w:footnote>
  <w:footnote w:type="continuationSeparator" w:id="0">
    <w:p w:rsidR="007B3D97" w:rsidRDefault="007B3D97" w:rsidP="00D5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C05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978C8"/>
    <w:multiLevelType w:val="hybridMultilevel"/>
    <w:tmpl w:val="055E4712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0471D7"/>
    <w:multiLevelType w:val="hybridMultilevel"/>
    <w:tmpl w:val="EBEA3520"/>
    <w:lvl w:ilvl="0" w:tplc="F4261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43B98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E9459E"/>
    <w:multiLevelType w:val="hybridMultilevel"/>
    <w:tmpl w:val="3D0AF602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416EE5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1E00E3"/>
    <w:multiLevelType w:val="hybridMultilevel"/>
    <w:tmpl w:val="2EDAED36"/>
    <w:lvl w:ilvl="0" w:tplc="50400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E27E5A"/>
    <w:multiLevelType w:val="hybridMultilevel"/>
    <w:tmpl w:val="4F6C559E"/>
    <w:lvl w:ilvl="0" w:tplc="1DCC7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8E"/>
    <w:rsid w:val="0000511F"/>
    <w:rsid w:val="0000566C"/>
    <w:rsid w:val="00012316"/>
    <w:rsid w:val="00021F53"/>
    <w:rsid w:val="00026391"/>
    <w:rsid w:val="00036919"/>
    <w:rsid w:val="00042AF1"/>
    <w:rsid w:val="000577E1"/>
    <w:rsid w:val="00065B31"/>
    <w:rsid w:val="000739FC"/>
    <w:rsid w:val="0007613C"/>
    <w:rsid w:val="0007651D"/>
    <w:rsid w:val="00082086"/>
    <w:rsid w:val="000B1A28"/>
    <w:rsid w:val="000B2EC5"/>
    <w:rsid w:val="000B522D"/>
    <w:rsid w:val="000B6101"/>
    <w:rsid w:val="000C6B79"/>
    <w:rsid w:val="000D5B98"/>
    <w:rsid w:val="000E0DE6"/>
    <w:rsid w:val="000E46B5"/>
    <w:rsid w:val="000E47F2"/>
    <w:rsid w:val="000E6DA9"/>
    <w:rsid w:val="000F15A5"/>
    <w:rsid w:val="00102523"/>
    <w:rsid w:val="0012171A"/>
    <w:rsid w:val="00127082"/>
    <w:rsid w:val="00131159"/>
    <w:rsid w:val="001314A9"/>
    <w:rsid w:val="0013259B"/>
    <w:rsid w:val="00140B8A"/>
    <w:rsid w:val="0014130E"/>
    <w:rsid w:val="0014242B"/>
    <w:rsid w:val="00144DB6"/>
    <w:rsid w:val="0014546E"/>
    <w:rsid w:val="00161D24"/>
    <w:rsid w:val="00170175"/>
    <w:rsid w:val="00170184"/>
    <w:rsid w:val="0017158E"/>
    <w:rsid w:val="001729D7"/>
    <w:rsid w:val="00182BA0"/>
    <w:rsid w:val="00185836"/>
    <w:rsid w:val="00192283"/>
    <w:rsid w:val="0019276E"/>
    <w:rsid w:val="001A5B37"/>
    <w:rsid w:val="001B358E"/>
    <w:rsid w:val="001B4B7B"/>
    <w:rsid w:val="001B5E17"/>
    <w:rsid w:val="001C1ACB"/>
    <w:rsid w:val="001D382D"/>
    <w:rsid w:val="002041DF"/>
    <w:rsid w:val="00206596"/>
    <w:rsid w:val="00211F44"/>
    <w:rsid w:val="00214B98"/>
    <w:rsid w:val="00222876"/>
    <w:rsid w:val="002263F3"/>
    <w:rsid w:val="002334B6"/>
    <w:rsid w:val="002373EB"/>
    <w:rsid w:val="00244A6F"/>
    <w:rsid w:val="002477DB"/>
    <w:rsid w:val="00262E21"/>
    <w:rsid w:val="0026308E"/>
    <w:rsid w:val="002718FB"/>
    <w:rsid w:val="0028542F"/>
    <w:rsid w:val="002949A2"/>
    <w:rsid w:val="00296727"/>
    <w:rsid w:val="002A40F0"/>
    <w:rsid w:val="002A7B2F"/>
    <w:rsid w:val="002B0363"/>
    <w:rsid w:val="002B4D8B"/>
    <w:rsid w:val="002D39EB"/>
    <w:rsid w:val="002D3D66"/>
    <w:rsid w:val="002E2444"/>
    <w:rsid w:val="002E5FD3"/>
    <w:rsid w:val="0030319C"/>
    <w:rsid w:val="00305ECA"/>
    <w:rsid w:val="00311771"/>
    <w:rsid w:val="00315496"/>
    <w:rsid w:val="0032257B"/>
    <w:rsid w:val="0032451E"/>
    <w:rsid w:val="003403CF"/>
    <w:rsid w:val="00342E6C"/>
    <w:rsid w:val="00351C46"/>
    <w:rsid w:val="00357A63"/>
    <w:rsid w:val="003645A7"/>
    <w:rsid w:val="0037460D"/>
    <w:rsid w:val="00377A36"/>
    <w:rsid w:val="00380B6F"/>
    <w:rsid w:val="003A1B8A"/>
    <w:rsid w:val="003A25BA"/>
    <w:rsid w:val="003B2B81"/>
    <w:rsid w:val="003B5D91"/>
    <w:rsid w:val="003C1957"/>
    <w:rsid w:val="003C3406"/>
    <w:rsid w:val="003D0386"/>
    <w:rsid w:val="003D1798"/>
    <w:rsid w:val="003E3EA1"/>
    <w:rsid w:val="003F4204"/>
    <w:rsid w:val="004039B3"/>
    <w:rsid w:val="00413431"/>
    <w:rsid w:val="00440DBB"/>
    <w:rsid w:val="004477B6"/>
    <w:rsid w:val="004530FE"/>
    <w:rsid w:val="00472DD0"/>
    <w:rsid w:val="00487969"/>
    <w:rsid w:val="00493250"/>
    <w:rsid w:val="004A1EE1"/>
    <w:rsid w:val="004A2D86"/>
    <w:rsid w:val="004B1003"/>
    <w:rsid w:val="004B17C3"/>
    <w:rsid w:val="004C0CAC"/>
    <w:rsid w:val="004C79A6"/>
    <w:rsid w:val="004D14D2"/>
    <w:rsid w:val="004D1CBD"/>
    <w:rsid w:val="004D21E2"/>
    <w:rsid w:val="004D4017"/>
    <w:rsid w:val="004D4401"/>
    <w:rsid w:val="004E28A2"/>
    <w:rsid w:val="004E4028"/>
    <w:rsid w:val="004E79F3"/>
    <w:rsid w:val="005111E1"/>
    <w:rsid w:val="00517785"/>
    <w:rsid w:val="00524960"/>
    <w:rsid w:val="00525FE5"/>
    <w:rsid w:val="005268AC"/>
    <w:rsid w:val="005279B0"/>
    <w:rsid w:val="0054022F"/>
    <w:rsid w:val="00542F7F"/>
    <w:rsid w:val="00550BED"/>
    <w:rsid w:val="005574BD"/>
    <w:rsid w:val="0056146B"/>
    <w:rsid w:val="00565A28"/>
    <w:rsid w:val="00571207"/>
    <w:rsid w:val="00572A59"/>
    <w:rsid w:val="00573807"/>
    <w:rsid w:val="0058250A"/>
    <w:rsid w:val="005A1E0A"/>
    <w:rsid w:val="005A5049"/>
    <w:rsid w:val="005B057A"/>
    <w:rsid w:val="005C4176"/>
    <w:rsid w:val="005C52AA"/>
    <w:rsid w:val="005C67C6"/>
    <w:rsid w:val="005C6ED8"/>
    <w:rsid w:val="005D53B5"/>
    <w:rsid w:val="00602458"/>
    <w:rsid w:val="00604146"/>
    <w:rsid w:val="006152E8"/>
    <w:rsid w:val="00617509"/>
    <w:rsid w:val="00617881"/>
    <w:rsid w:val="0062525E"/>
    <w:rsid w:val="00627246"/>
    <w:rsid w:val="00633226"/>
    <w:rsid w:val="006614B6"/>
    <w:rsid w:val="00665435"/>
    <w:rsid w:val="00672935"/>
    <w:rsid w:val="00674910"/>
    <w:rsid w:val="00681CD3"/>
    <w:rsid w:val="00685529"/>
    <w:rsid w:val="0068770D"/>
    <w:rsid w:val="006A2234"/>
    <w:rsid w:val="006A5E1F"/>
    <w:rsid w:val="006A6DE4"/>
    <w:rsid w:val="006A7268"/>
    <w:rsid w:val="006B1553"/>
    <w:rsid w:val="006B165F"/>
    <w:rsid w:val="006C4F1D"/>
    <w:rsid w:val="0070120E"/>
    <w:rsid w:val="00704EA5"/>
    <w:rsid w:val="00720773"/>
    <w:rsid w:val="007218D2"/>
    <w:rsid w:val="007228B9"/>
    <w:rsid w:val="00724E0C"/>
    <w:rsid w:val="007311FE"/>
    <w:rsid w:val="00733C45"/>
    <w:rsid w:val="0074195F"/>
    <w:rsid w:val="00750908"/>
    <w:rsid w:val="007557AB"/>
    <w:rsid w:val="007618AC"/>
    <w:rsid w:val="00761AA7"/>
    <w:rsid w:val="00773333"/>
    <w:rsid w:val="007746CB"/>
    <w:rsid w:val="00796356"/>
    <w:rsid w:val="00796ECD"/>
    <w:rsid w:val="00797825"/>
    <w:rsid w:val="007A21EC"/>
    <w:rsid w:val="007A22A5"/>
    <w:rsid w:val="007A22F1"/>
    <w:rsid w:val="007A44C9"/>
    <w:rsid w:val="007A536B"/>
    <w:rsid w:val="007B2D39"/>
    <w:rsid w:val="007B3D97"/>
    <w:rsid w:val="007B62EF"/>
    <w:rsid w:val="007C0578"/>
    <w:rsid w:val="007E3039"/>
    <w:rsid w:val="007F03F0"/>
    <w:rsid w:val="007F6862"/>
    <w:rsid w:val="008111FF"/>
    <w:rsid w:val="008134BF"/>
    <w:rsid w:val="00816E98"/>
    <w:rsid w:val="008446E8"/>
    <w:rsid w:val="00850BBC"/>
    <w:rsid w:val="00856B37"/>
    <w:rsid w:val="00860CDC"/>
    <w:rsid w:val="00861567"/>
    <w:rsid w:val="00863173"/>
    <w:rsid w:val="00877666"/>
    <w:rsid w:val="008843CC"/>
    <w:rsid w:val="0088748B"/>
    <w:rsid w:val="00894F88"/>
    <w:rsid w:val="00895703"/>
    <w:rsid w:val="00896852"/>
    <w:rsid w:val="008A607F"/>
    <w:rsid w:val="008B6AC1"/>
    <w:rsid w:val="008B771E"/>
    <w:rsid w:val="008C53A2"/>
    <w:rsid w:val="008C622E"/>
    <w:rsid w:val="008E0DA9"/>
    <w:rsid w:val="008E244A"/>
    <w:rsid w:val="008E2844"/>
    <w:rsid w:val="008E5BAA"/>
    <w:rsid w:val="009006CA"/>
    <w:rsid w:val="009237FD"/>
    <w:rsid w:val="00930283"/>
    <w:rsid w:val="00931216"/>
    <w:rsid w:val="009332C8"/>
    <w:rsid w:val="00934703"/>
    <w:rsid w:val="00943905"/>
    <w:rsid w:val="00950DE2"/>
    <w:rsid w:val="00953771"/>
    <w:rsid w:val="009548E1"/>
    <w:rsid w:val="009605B2"/>
    <w:rsid w:val="009629E6"/>
    <w:rsid w:val="00965CC7"/>
    <w:rsid w:val="0097097E"/>
    <w:rsid w:val="00981F21"/>
    <w:rsid w:val="00982266"/>
    <w:rsid w:val="009B0540"/>
    <w:rsid w:val="009C6FA1"/>
    <w:rsid w:val="00A06F4C"/>
    <w:rsid w:val="00A07E48"/>
    <w:rsid w:val="00A144A3"/>
    <w:rsid w:val="00A24AA1"/>
    <w:rsid w:val="00A31EAF"/>
    <w:rsid w:val="00A35B0B"/>
    <w:rsid w:val="00A42584"/>
    <w:rsid w:val="00A47221"/>
    <w:rsid w:val="00A57514"/>
    <w:rsid w:val="00A655D7"/>
    <w:rsid w:val="00A66B6D"/>
    <w:rsid w:val="00A678F1"/>
    <w:rsid w:val="00A71D18"/>
    <w:rsid w:val="00A74C5F"/>
    <w:rsid w:val="00A7517A"/>
    <w:rsid w:val="00AA3A0E"/>
    <w:rsid w:val="00AB0F5F"/>
    <w:rsid w:val="00AB55AA"/>
    <w:rsid w:val="00AB6A99"/>
    <w:rsid w:val="00AB70EF"/>
    <w:rsid w:val="00AC742F"/>
    <w:rsid w:val="00AD5AA7"/>
    <w:rsid w:val="00AF12A3"/>
    <w:rsid w:val="00B04EAE"/>
    <w:rsid w:val="00B05860"/>
    <w:rsid w:val="00B10FF5"/>
    <w:rsid w:val="00B126ED"/>
    <w:rsid w:val="00B31D3A"/>
    <w:rsid w:val="00B43ABC"/>
    <w:rsid w:val="00B43B63"/>
    <w:rsid w:val="00B44B06"/>
    <w:rsid w:val="00B5148D"/>
    <w:rsid w:val="00B52213"/>
    <w:rsid w:val="00B528DC"/>
    <w:rsid w:val="00B53CF3"/>
    <w:rsid w:val="00B61800"/>
    <w:rsid w:val="00B63015"/>
    <w:rsid w:val="00B6670F"/>
    <w:rsid w:val="00B668A5"/>
    <w:rsid w:val="00B70C9D"/>
    <w:rsid w:val="00BB6388"/>
    <w:rsid w:val="00BB69D8"/>
    <w:rsid w:val="00BD13F5"/>
    <w:rsid w:val="00BD57CA"/>
    <w:rsid w:val="00BF44E0"/>
    <w:rsid w:val="00C00064"/>
    <w:rsid w:val="00C0271E"/>
    <w:rsid w:val="00C05464"/>
    <w:rsid w:val="00C14F08"/>
    <w:rsid w:val="00C2118B"/>
    <w:rsid w:val="00C21233"/>
    <w:rsid w:val="00C438FB"/>
    <w:rsid w:val="00C45987"/>
    <w:rsid w:val="00C45F3A"/>
    <w:rsid w:val="00C46ADB"/>
    <w:rsid w:val="00C46C87"/>
    <w:rsid w:val="00C50410"/>
    <w:rsid w:val="00C50CB2"/>
    <w:rsid w:val="00C54EEC"/>
    <w:rsid w:val="00C62449"/>
    <w:rsid w:val="00C74B29"/>
    <w:rsid w:val="00C75A36"/>
    <w:rsid w:val="00C9747F"/>
    <w:rsid w:val="00CA2EE3"/>
    <w:rsid w:val="00CA3343"/>
    <w:rsid w:val="00CA6869"/>
    <w:rsid w:val="00CC188A"/>
    <w:rsid w:val="00CC2F75"/>
    <w:rsid w:val="00CC5EEB"/>
    <w:rsid w:val="00CE0018"/>
    <w:rsid w:val="00CF5429"/>
    <w:rsid w:val="00D17A41"/>
    <w:rsid w:val="00D25B4C"/>
    <w:rsid w:val="00D30774"/>
    <w:rsid w:val="00D4174D"/>
    <w:rsid w:val="00D51400"/>
    <w:rsid w:val="00D521A7"/>
    <w:rsid w:val="00D55FCC"/>
    <w:rsid w:val="00D8586A"/>
    <w:rsid w:val="00D951D9"/>
    <w:rsid w:val="00D96E42"/>
    <w:rsid w:val="00D9764A"/>
    <w:rsid w:val="00DA5404"/>
    <w:rsid w:val="00DB1D1C"/>
    <w:rsid w:val="00DB2BAC"/>
    <w:rsid w:val="00DB4162"/>
    <w:rsid w:val="00DB4444"/>
    <w:rsid w:val="00DB5887"/>
    <w:rsid w:val="00DC49E8"/>
    <w:rsid w:val="00DC5F57"/>
    <w:rsid w:val="00DC6FB8"/>
    <w:rsid w:val="00DC7197"/>
    <w:rsid w:val="00DC7D00"/>
    <w:rsid w:val="00DD2F19"/>
    <w:rsid w:val="00DE2F55"/>
    <w:rsid w:val="00E02305"/>
    <w:rsid w:val="00E02953"/>
    <w:rsid w:val="00E17F7F"/>
    <w:rsid w:val="00E2168B"/>
    <w:rsid w:val="00E218C2"/>
    <w:rsid w:val="00E24754"/>
    <w:rsid w:val="00E2610C"/>
    <w:rsid w:val="00E30E31"/>
    <w:rsid w:val="00E340E6"/>
    <w:rsid w:val="00E3575A"/>
    <w:rsid w:val="00E455B4"/>
    <w:rsid w:val="00E469C5"/>
    <w:rsid w:val="00E51A7D"/>
    <w:rsid w:val="00E53883"/>
    <w:rsid w:val="00E64DA3"/>
    <w:rsid w:val="00E70371"/>
    <w:rsid w:val="00E74DB8"/>
    <w:rsid w:val="00E7711E"/>
    <w:rsid w:val="00E845E6"/>
    <w:rsid w:val="00E911B9"/>
    <w:rsid w:val="00EA1A25"/>
    <w:rsid w:val="00EA6DC7"/>
    <w:rsid w:val="00EB21C5"/>
    <w:rsid w:val="00EC33A6"/>
    <w:rsid w:val="00EC63D2"/>
    <w:rsid w:val="00ED1747"/>
    <w:rsid w:val="00ED50E9"/>
    <w:rsid w:val="00EE4120"/>
    <w:rsid w:val="00EF2C4F"/>
    <w:rsid w:val="00EF7644"/>
    <w:rsid w:val="00F013FA"/>
    <w:rsid w:val="00F0148C"/>
    <w:rsid w:val="00F135EB"/>
    <w:rsid w:val="00F27950"/>
    <w:rsid w:val="00F501D0"/>
    <w:rsid w:val="00F503B0"/>
    <w:rsid w:val="00F54C30"/>
    <w:rsid w:val="00F553E4"/>
    <w:rsid w:val="00F56DFD"/>
    <w:rsid w:val="00F709DC"/>
    <w:rsid w:val="00F72051"/>
    <w:rsid w:val="00F73572"/>
    <w:rsid w:val="00FA0D45"/>
    <w:rsid w:val="00FA1DCF"/>
    <w:rsid w:val="00FA2A70"/>
    <w:rsid w:val="00FD5A1D"/>
    <w:rsid w:val="00FE5BF0"/>
    <w:rsid w:val="00FE66CF"/>
    <w:rsid w:val="00FE7C36"/>
    <w:rsid w:val="00FF2C74"/>
    <w:rsid w:val="00FF453D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7379-2CB0-4267-BC44-6CD0093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21"/>
  </w:style>
  <w:style w:type="paragraph" w:styleId="1">
    <w:name w:val="heading 1"/>
    <w:basedOn w:val="a"/>
    <w:next w:val="a"/>
    <w:link w:val="10"/>
    <w:qFormat/>
    <w:rsid w:val="002E5F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5F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20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228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5F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2E5F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Title">
    <w:name w:val="ConsTitle"/>
    <w:rsid w:val="002E5F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2E5F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5FD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E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5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5FCC"/>
  </w:style>
  <w:style w:type="paragraph" w:styleId="aa">
    <w:name w:val="footer"/>
    <w:basedOn w:val="a"/>
    <w:link w:val="ab"/>
    <w:uiPriority w:val="99"/>
    <w:unhideWhenUsed/>
    <w:rsid w:val="00D55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5FCC"/>
  </w:style>
  <w:style w:type="paragraph" w:customStyle="1" w:styleId="ConsPlusNonformat">
    <w:name w:val="ConsPlusNonformat"/>
    <w:rsid w:val="00A71D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7A21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vladikavkaz.alani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ladikavkaz-oset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ikavkaz-ose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574B-AFFF-4E8A-9125-21E02306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Макоева</dc:creator>
  <cp:keywords/>
  <dc:description/>
  <cp:lastModifiedBy>Тома Томаева</cp:lastModifiedBy>
  <cp:revision>2</cp:revision>
  <cp:lastPrinted>2024-07-29T13:13:00Z</cp:lastPrinted>
  <dcterms:created xsi:type="dcterms:W3CDTF">2026-02-06T14:28:00Z</dcterms:created>
  <dcterms:modified xsi:type="dcterms:W3CDTF">2026-02-06T14:28:00Z</dcterms:modified>
</cp:coreProperties>
</file>